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FF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评课</w:t>
      </w:r>
    </w:p>
    <w:p w14:paraId="72B47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本次《两次鸦片战争》公开课紧扣“家国情怀”与“史料实证”核心素养，以“天朝梦醒”为暗线，通过时空构建、问题引导与史料辨析，将历史事件转化为可感知、可思考的学习过程，既落实了知识目标，又实现了价值引领，是一节兼具深度与温度的历史课。</w:t>
      </w:r>
    </w:p>
    <w:p w14:paraId="04C28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教学亮点集中体现在三个维度。其一，时空观念构建扎实有效。教师以19世纪中期世界地图为底版，叠加工业革命后的西方扩张路线与清朝疆域图，通过时间轴串联“马戛尔尼访华—虎门销烟—两次战争—条约签订”关键节点，让学生直观感知“世界潮流”与“天朝困境”的碰撞，清晰理解战争爆发的历史必然性。这种设计契合课标对“在特定时空下认识历史事件”的要求，有效突破了“战争背景”这一教学难点。其二，史料运用兼具广度与深度。课堂引入费正清《中国：传统与变迁》中马戛尔尼访华的记载，对比英国议会侵华辩论史料与《南京条约》文本片段，通过“西方学者称战争为‘通商战争’，你是否认同？”的问题链，引导学生从“表面通商诉求”深挖“资本扩张本质”。在分析条约影响时，教师特别解读“领事裁判权”“片面最惠国待遇”等概念，结合圆明园焚毁的图片与亲历者记述，让学生在史料辨析中形成历史解释，避免了史实的碎片化记忆。其三，价值引领润物无声。教师未局限于“落后就要挨打”的单一结论，而是通过“魏源‘师夷长技以制夷’的提出”“三元里人民抗英”等史实，引导学生思考“屈辱中的觉醒”。在小组讨论“战争对中国的双重影响”时，学生既认识到主权沦丧的痛苦，也看到近代化开端的契机，家国情怀与辩证思维同步得到培养，践行了历史教学“立德树人”的使命。</w:t>
      </w:r>
    </w:p>
    <w:p w14:paraId="5E82C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课堂仍有优化空间。一是两次战争的衔接可更自然，可从“广州入城问题”等细节切入，说明第二次鸦片战争是第一次战争的延续与扩大；二是学生活动可更聚焦，小组讨论时可给出明确的史料任务单，避免观点发散；三是可补充更多基层人物故事，如普通士兵、民众的经历，让历史更具感染力。</w:t>
      </w:r>
    </w:p>
    <w:p w14:paraId="2519E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总体而言，本节课精准把握教学重难点，将知识传授与素养培养有机融合。教师既立足课标与教材，又适度引入学术视角，通过扎实的史料支撑与清晰的逻辑引导，让学生在了解历史事实的同时，学会辩证看待历史、汲取历史智慧。这种教学实践，真正让历史课堂成为涵养家国情怀、培育理性思维的重要载体。</w:t>
      </w:r>
    </w:p>
    <w:p w14:paraId="05287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right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李家平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F26020"/>
    <w:rsid w:val="60A3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926</Words>
  <Characters>927</Characters>
  <Lines>0</Lines>
  <Paragraphs>0</Paragraphs>
  <TotalTime>3</TotalTime>
  <ScaleCrop>false</ScaleCrop>
  <LinksUpToDate>false</LinksUpToDate>
  <CharactersWithSpaces>927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2025-11-25T09:16:00Z</dcterms:created>
  <dc:creator>Administrator</dc:creator>
  <cp:lastModifiedBy>清风</cp:lastModifiedBy>
  <dcterms:modified xsi:type="dcterms:W3CDTF">2025-11-25T09:21:48Z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eyJoZGlkIjoiNjlhYWU1OWU3MTVhMDhmZmQwNGI4NGQwOGFiMWQ1MjgiLCJ1c2VySWQiOiI2MjE1MDg0MTcifQ==</vt:lpwstr>
  </property>
  <property fmtid="{D5CDD505-2E9C-101B-9397-08002B2CF9AE}" pid="4" name="ICV">
    <vt:lpwstr>F4091D4B1AB74494BDE8C2B8C8C6219A_12</vt:lpwstr>
  </property>
</Properties>
</file>