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529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认识经济全球化的评课意见：</w:t>
      </w:r>
    </w:p>
    <w:p w14:paraId="73B0E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1. 本节课以大疆作为案例进行开篇导入，十分贴近学生实际情况，极具吸引力。然而，由于教学内容丰富、难度较大且教学节奏较快，致使部分学生积极性欠佳。后续可对教学节奏进行适当把控，使课堂时间安排更为合理。 </w:t>
      </w:r>
    </w:p>
    <w:p w14:paraId="7BF4EC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在活动开展过程中，需为学生预留充足的思考与交流时间，并依据学生的回答来推进教育活动，进而提升教育机智。 </w:t>
      </w:r>
    </w:p>
    <w:p w14:paraId="33049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bookmarkStart w:id="0" w:name="_GoBack"/>
      <w:bookmarkEnd w:id="0"/>
      <w:r>
        <w:rPr>
          <w:rFonts w:hint="eastAsia"/>
          <w:lang w:val="en-US" w:eastAsia="zh-CN"/>
        </w:rPr>
        <w:t>在课堂互动方面，老师可以进一步丰富互动形式，比如组织小组竞赛、角色扮演等活动，激发学生参与研讨的热情，改变当前研讨兴趣不高的状况。对于教学内容，除了控制节奏，还可以将一些复杂的知识点进行拆分，用更通俗易懂的方式讲解，便于学生理解和接受。同时，在引导学生体会社会主义市场经济体制优越性等价值引领内容时，可以结合更多实际案例，让学生有更直观的感受，从而更好地树立规则意识、法治意识，增强投身社会主义市场经济建设的决心。</w:t>
      </w:r>
    </w:p>
    <w:p w14:paraId="4D7E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可以在研讨环节设置更具启发性的问题，或者采用小组竞赛等方式，激发学生参与研讨的热情。同时，老师要密切关注学生的讨论动态，及时给予指导和鼓励。在讲解经济全球化相关理论知识时，应多结合实际案例，将抽象的概念具体化，帮助学生更好地理解和吸收。并且，要注重课堂互动形式的多样性，不仅仅局限于问答，还可以组织小型的辩论活动等，让学生在多元的互动中深化对经济全球化的认识。</w:t>
      </w:r>
    </w:p>
    <w:p w14:paraId="2FA08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33E64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2AB3C"/>
    <w:multiLevelType w:val="singleLevel"/>
    <w:tmpl w:val="8902AB3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OTY0NGQ3YTRmNzJjODdmZDEyZTZlZTM2ZGJiZWEifQ=="/>
  </w:docVars>
  <w:rsids>
    <w:rsidRoot w:val="5E8935E7"/>
    <w:rsid w:val="0B6D4C8B"/>
    <w:rsid w:val="344921B5"/>
    <w:rsid w:val="39CA4B86"/>
    <w:rsid w:val="4CC51A03"/>
    <w:rsid w:val="5E8935E7"/>
    <w:rsid w:val="60B70B80"/>
    <w:rsid w:val="756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5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2021-03-16T13:04:00Z</dcterms:created>
  <dc:creator>zy</dc:creator>
  <cp:lastModifiedBy>风一样的女子sky</cp:lastModifiedBy>
  <dcterms:modified xsi:type="dcterms:W3CDTF">2025-10-30T11:03:28Z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EBAA47DEBAE4422BA40914CC27BA5542_13</vt:lpwstr>
  </property>
  <property fmtid="{D5CDD505-2E9C-101B-9397-08002B2CF9AE}" pid="4" name="KSOTemplateDocerSaveRecord">
    <vt:lpwstr>eyJoZGlkIjoiYjdkZDU5MTk3NzE4ZDg3YThkMjgyOGU4MzY0M2VkM2MiLCJ1c2VySWQiOiIzNTI1NzgzMjAifQ==</vt:lpwstr>
  </property>
</Properties>
</file>