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F19AE">
      <w:pPr>
        <w:pStyle w:val="2"/>
        <w:keepNext w:val="0"/>
        <w:keepLines w:val="0"/>
        <w:widowControl/>
        <w:suppressLineNumbers w:val="0"/>
        <w:spacing w:before="480" w:beforeAutospacing="0" w:after="240" w:afterAutospacing="0"/>
        <w:ind w:left="0" w:right="0"/>
        <w:jc w:val="center"/>
        <w:rPr>
          <w:rFonts w:hint="default" w:ascii="var(--dsw-font-markdown-h3)" w:hAnsi="var(--dsw-font-markdown-h3)" w:eastAsia="var(--dsw-font-markdown-h3)" w:cs="var(--dsw-font-markdown-h3)"/>
          <w:color w:val="000000" w:themeColor="text1"/>
          <w14:textFill>
            <w14:solidFill>
              <w14:schemeClr w14:val="tx1"/>
            </w14:solidFill>
          </w14:textFill>
        </w:rPr>
      </w:pPr>
      <w:r>
        <w:rPr>
          <w:rStyle w:val="7"/>
          <w:rFonts w:hint="default" w:ascii="var(--dsw-font-markdown-h3)" w:hAnsi="var(--dsw-font-markdown-h3)" w:eastAsia="var(--dsw-font-markdown-h3)" w:cs="var(--dsw-font-markdown-h3)"/>
          <w:b/>
          <w:i w:val="0"/>
          <w:iCs w:val="0"/>
          <w:caps w:val="0"/>
          <w:color w:val="000000" w:themeColor="text1"/>
          <w:spacing w:val="0"/>
          <w:shd w:val="clear" w:fill="FFFFFF"/>
          <w14:textFill>
            <w14:solidFill>
              <w14:schemeClr w14:val="tx1"/>
            </w14:solidFill>
          </w14:textFill>
        </w:rPr>
        <w:t>《难溶电解质的沉淀溶解平衡》教学反思</w:t>
      </w:r>
    </w:p>
    <w:p w14:paraId="61F4AC14">
      <w:pPr>
        <w:pStyle w:val="4"/>
        <w:keepNext w:val="0"/>
        <w:keepLines w:val="0"/>
        <w:widowControl/>
        <w:suppressLineNumbers w:val="0"/>
        <w:spacing w:before="240" w:beforeAutospacing="0" w:after="240" w:afterAutospacing="0"/>
        <w:ind w:left="0" w:right="0"/>
        <w:rPr>
          <w:color w:val="000000" w:themeColor="text1"/>
          <w14:textFill>
            <w14:solidFill>
              <w14:schemeClr w14:val="tx1"/>
            </w14:solidFill>
          </w14:textFill>
        </w:rPr>
      </w:pP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本节课是水溶液中的离子平衡理论的重要组成部分，承前启后，理论性与应用性兼备。结合本次授课所使用的课件，我对教学实践进行如下反思：</w:t>
      </w:r>
    </w:p>
    <w:p w14:paraId="07B0D5CF">
      <w:pPr>
        <w:pStyle w:val="3"/>
        <w:keepNext w:val="0"/>
        <w:keepLines w:val="0"/>
        <w:widowControl/>
        <w:suppressLineNumbers w:val="0"/>
        <w:spacing w:before="240" w:beforeAutospacing="0" w:after="120" w:afterAutospacing="0"/>
        <w:ind w:left="0" w:right="0"/>
        <w:rPr>
          <w:rFonts w:hint="default" w:ascii="var(--dsw-font-markdown-h4)" w:hAnsi="var(--dsw-font-markdown-h4)" w:eastAsia="var(--dsw-font-markdown-h4)" w:cs="var(--dsw-font-markdown-h4)"/>
          <w:color w:val="000000" w:themeColor="text1"/>
          <w14:textFill>
            <w14:solidFill>
              <w14:schemeClr w14:val="tx1"/>
            </w14:solidFill>
          </w14:textFill>
        </w:rPr>
      </w:pPr>
      <w:r>
        <w:rPr>
          <w:rStyle w:val="7"/>
          <w:rFonts w:hint="default" w:ascii="var(--dsw-font-markdown-h4)" w:hAnsi="var(--dsw-font-markdown-h4)" w:eastAsia="var(--dsw-font-markdown-h4)" w:cs="var(--dsw-font-markdown-h4)"/>
          <w:b/>
          <w:i w:val="0"/>
          <w:iCs w:val="0"/>
          <w:caps w:val="0"/>
          <w:color w:val="000000" w:themeColor="text1"/>
          <w:spacing w:val="0"/>
          <w:shd w:val="clear" w:fill="FFFFFF"/>
          <w14:textFill>
            <w14:solidFill>
              <w14:schemeClr w14:val="tx1"/>
            </w14:solidFill>
          </w14:textFill>
        </w:rPr>
        <w:t>一、 教学设计与实施的亮点</w:t>
      </w:r>
      <w:bookmarkStart w:id="0" w:name="_GoBack"/>
      <w:bookmarkEnd w:id="0"/>
    </w:p>
    <w:p w14:paraId="543CC215">
      <w:pPr>
        <w:pStyle w:val="4"/>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逻辑清晰，结构严谨</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课件结构遵循“定义-建立-特征-表示-常数-应用”的认知逻辑，从“溶解度”和“溶解性”这一学生已知概念入手，逐步深入到“沉淀溶解平衡”这一核心概念，再引出其定量的描述工具“溶度积（Ksp）”，最后通过“沉淀转化”的实验与模型进行应用，层层递进，符合学生的思维习惯。</w:t>
      </w:r>
    </w:p>
    <w:p w14:paraId="5A66882E">
      <w:pPr>
        <w:pStyle w:val="4"/>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紧扣课标，重点突出</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：课件准确把握了本节的核心知识，即</w:t>
      </w: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沉淀溶解平衡的建立与特征</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w:t>
      </w: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溶度积常数（Ksp）的含义与表达式</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以及</w:t>
      </w: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Q与Ksp的关系判断沉淀溶解</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。通过明确的标题和关键词，将教学重点清晰地呈现给学生。</w:t>
      </w:r>
    </w:p>
    <w:p w14:paraId="47206BD0">
      <w:pPr>
        <w:pStyle w:val="4"/>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注重探究与证据推理</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课件中设计了多个“实验探究”和“证据推理”环节，如“影响Mg(OH)₂溶解平衡的因素”、“AgCl沉淀转化模型”等。这不仅将抽象的平衡移动原理具体化，更重要的是培养了学生“基于证据得出结论”的科学探究能力，体现了化学学科的核心素养。</w:t>
      </w:r>
    </w:p>
    <w:p w14:paraId="67437664">
      <w:pPr>
        <w:pStyle w:val="4"/>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强化符号表征与定量计算</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：从书写沉淀溶解平衡表达式到书写Ksp表达式，再到通过Ksp进行定量计算判断沉淀是否生成和是否完全，课件始终引导学生用化学语言和数学工具描述和解决化学问题，促进了学生从定性到定量的思维跨越。</w:t>
      </w:r>
    </w:p>
    <w:p w14:paraId="057A86CF">
      <w:pPr>
        <w:pStyle w:val="3"/>
        <w:keepNext w:val="0"/>
        <w:keepLines w:val="0"/>
        <w:widowControl/>
        <w:suppressLineNumbers w:val="0"/>
        <w:spacing w:before="240" w:beforeAutospacing="0" w:after="120" w:afterAutospacing="0"/>
        <w:ind w:left="0" w:right="0"/>
        <w:rPr>
          <w:rFonts w:hint="default" w:ascii="var(--dsw-font-markdown-h4)" w:hAnsi="var(--dsw-font-markdown-h4)" w:eastAsia="var(--dsw-font-markdown-h4)" w:cs="var(--dsw-font-markdown-h4)"/>
          <w:color w:val="000000" w:themeColor="text1"/>
          <w14:textFill>
            <w14:solidFill>
              <w14:schemeClr w14:val="tx1"/>
            </w14:solidFill>
          </w14:textFill>
        </w:rPr>
      </w:pPr>
      <w:r>
        <w:rPr>
          <w:rStyle w:val="7"/>
          <w:rFonts w:hint="default" w:ascii="var(--dsw-font-markdown-h4)" w:hAnsi="var(--dsw-font-markdown-h4)" w:eastAsia="var(--dsw-font-markdown-h4)" w:cs="var(--dsw-font-markdown-h4)"/>
          <w:b/>
          <w:i w:val="0"/>
          <w:iCs w:val="0"/>
          <w:caps w:val="0"/>
          <w:color w:val="000000" w:themeColor="text1"/>
          <w:spacing w:val="0"/>
          <w:shd w:val="clear" w:fill="FFFFFF"/>
          <w14:textFill>
            <w14:solidFill>
              <w14:schemeClr w14:val="tx1"/>
            </w14:solidFill>
          </w14:textFill>
        </w:rPr>
        <w:t>二、 教学过程中暴露的不足与挑战</w:t>
      </w:r>
    </w:p>
    <w:p w14:paraId="5F08259C">
      <w:pPr>
        <w:pStyle w:val="4"/>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概念辨析深度可能不足</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课件虽明确指出“难溶不是绝对不溶”，但在后续内容中，学生仍可能受“不溶”这一生活化前概念的干扰。对于“Ksp与溶解度的关系”，特别是“不同类型物质Ksp不能直接比较”这一难点，仅靠PPT上的文字说明，可能不足以让所有学生深刻理解其成因，需要教师在课堂上辅以更多的实例分析和对比讲解。</w:t>
      </w:r>
    </w:p>
    <w:p w14:paraId="72A624A3">
      <w:pPr>
        <w:pStyle w:val="4"/>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微观过程的呈现依赖教师语言</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课件清晰地列出了平衡的“逆、等、动、定、变”特征，但对于“动”的微观本质——离子在固液两相间的动态交换——缺乏可视化的支撑（如动画）。这部分内容的理解很大程度上依赖于教师的语言描述和学生的想象力，对于基础较弱的学生可能存在障碍。</w:t>
      </w:r>
    </w:p>
    <w:p w14:paraId="73C309B5">
      <w:pPr>
        <w:pStyle w:val="4"/>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计算应用的梯度设计有待课堂补充</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证据推理4”中的AgCl沉淀转化计算题综合性较强，涉及多步计算和“离子沉淀完全”的标准。课件提供了问题和已知，但解决过程的思维阶梯需要教师在课堂上一步步引导搭建，否则容易造成学生“听得懂，不会算”的局面。</w:t>
      </w:r>
    </w:p>
    <w:p w14:paraId="36F525C9">
      <w:pPr>
        <w:pStyle w:val="4"/>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课堂容量与时间的矛盾</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从课件内容看，本节课容量很大，从基本概念到Ksp，再到沉淀的生成与转化，并包含多个实验探究和计算推理。在实际教学中，如何合理分配时间，确保每个核心环节（尤其是探究和难点突破）都能充分展开，而不流于表面的“走马观花”，是一个巨大的挑战。</w:t>
      </w:r>
    </w:p>
    <w:p w14:paraId="25CD460D">
      <w:pPr>
        <w:pStyle w:val="3"/>
        <w:keepNext w:val="0"/>
        <w:keepLines w:val="0"/>
        <w:widowControl/>
        <w:suppressLineNumbers w:val="0"/>
        <w:spacing w:before="240" w:beforeAutospacing="0" w:after="120" w:afterAutospacing="0"/>
        <w:ind w:left="0" w:right="0"/>
        <w:rPr>
          <w:rFonts w:hint="default" w:ascii="var(--dsw-font-markdown-h4)" w:hAnsi="var(--dsw-font-markdown-h4)" w:eastAsia="var(--dsw-font-markdown-h4)" w:cs="var(--dsw-font-markdown-h4)"/>
          <w:color w:val="000000" w:themeColor="text1"/>
          <w14:textFill>
            <w14:solidFill>
              <w14:schemeClr w14:val="tx1"/>
            </w14:solidFill>
          </w14:textFill>
        </w:rPr>
      </w:pPr>
      <w:r>
        <w:rPr>
          <w:rStyle w:val="7"/>
          <w:rFonts w:hint="default" w:ascii="var(--dsw-font-markdown-h4)" w:hAnsi="var(--dsw-font-markdown-h4)" w:eastAsia="var(--dsw-font-markdown-h4)" w:cs="var(--dsw-font-markdown-h4)"/>
          <w:b/>
          <w:i w:val="0"/>
          <w:iCs w:val="0"/>
          <w:caps w:val="0"/>
          <w:color w:val="000000" w:themeColor="text1"/>
          <w:spacing w:val="0"/>
          <w:shd w:val="clear" w:fill="FFFFFF"/>
          <w14:textFill>
            <w14:solidFill>
              <w14:schemeClr w14:val="tx1"/>
            </w14:solidFill>
          </w14:textFill>
        </w:rPr>
        <w:t>三、 改进策略与未来展望</w:t>
      </w:r>
    </w:p>
    <w:p w14:paraId="61522D5B">
      <w:pPr>
        <w:pStyle w:val="4"/>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深化概念教学，设计辨析活动</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：在讲解Ksp与溶解能力时，准备增加一组对比练习，如直接比较AgCl和Ag₂CrO₄的溶解度，制造认知冲突，再引导学生从Ksp表达式和离子浓度幂次的角度分析原因，从而主动建构正确概念。</w:t>
      </w:r>
    </w:p>
    <w:p w14:paraId="19CE6E2E">
      <w:pPr>
        <w:pStyle w:val="4"/>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引入微观动画，化解抽象难题</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：计划搜集或制作“AgCl溶解与沉淀的微观过程”及“沉淀转化（AgCl→AgI）的微观动画”，在课堂上动态展示，将“v(溶解)=v(沉淀)≠0”和“沉淀转化是沉淀溶解平衡移动的结果”这一本质直观呈现。</w:t>
      </w:r>
    </w:p>
    <w:p w14:paraId="0EC640EB">
      <w:pPr>
        <w:pStyle w:val="4"/>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实施“脚手架”式教学，分解计算难题</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对于复杂的计算题，将在课堂上采用“问题分解”策略，将其拆解为几个循序渐进的子问题，让学生小组讨论，逐步解决。例如，先求混合后离子初始浓度，再求Q，与Ksp比较，最后判断是否沉淀完全，让思维过程显性化。</w:t>
      </w:r>
    </w:p>
    <w:p w14:paraId="19C9DCE2">
      <w:pPr>
        <w:pStyle w:val="4"/>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优化课堂节奏，实现精讲精练</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重新审视课件各环节的时间分配，对易于理解的内容（如平衡特征的“逆、等、定”）加快节奏，将节省出的时间集中于核心探究（实验现象解释）和能力提升（综合计算）环节，并设计当堂反馈练习，确保教学目标的落实。</w:t>
      </w:r>
    </w:p>
    <w:p w14:paraId="6DB1E333">
      <w:pPr>
        <w:pStyle w:val="4"/>
        <w:keepNext w:val="0"/>
        <w:keepLines w:val="0"/>
        <w:widowControl/>
        <w:suppressLineNumbers w:val="0"/>
        <w:spacing w:before="240" w:beforeAutospacing="0" w:after="240" w:afterAutospacing="0"/>
        <w:ind w:left="0" w:right="0"/>
        <w:rPr>
          <w:color w:val="000000" w:themeColor="text1"/>
          <w14:textFill>
            <w14:solidFill>
              <w14:schemeClr w14:val="tx1"/>
            </w14:solidFill>
          </w14:textFill>
        </w:rPr>
      </w:pPr>
      <w:r>
        <w:rPr>
          <w:rStyle w:val="7"/>
          <w:rFonts w:hint="default" w:ascii="var(--dsw-font-markdown-base)" w:hAnsi="var(--dsw-font-markdown-base)" w:eastAsia="var(--dsw-font-markdown-base)" w:cs="var(--dsw-font-markdown-base)"/>
          <w:b/>
          <w:bCs/>
          <w:i w:val="0"/>
          <w:iCs w:val="0"/>
          <w:caps w:val="0"/>
          <w:color w:val="000000" w:themeColor="text1"/>
          <w:spacing w:val="0"/>
          <w:sz w:val="21"/>
          <w:szCs w:val="21"/>
          <w:shd w:val="clear" w:fill="FFFFFF"/>
          <w14:textFill>
            <w14:solidFill>
              <w14:schemeClr w14:val="tx1"/>
            </w14:solidFill>
          </w14:textFill>
        </w:rPr>
        <w:t>总结</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w:t>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br w:type="textWrapping"/>
      </w:r>
      <w:r>
        <w:rPr>
          <w:rFonts w:hint="default" w:ascii="var(--dsw-font-markdown-base)" w:hAnsi="var(--dsw-font-markdown-base)" w:eastAsia="var(--dsw-font-markdown-base)" w:cs="var(--dsw-font-markdown-base)"/>
          <w:i w:val="0"/>
          <w:iCs w:val="0"/>
          <w:caps w:val="0"/>
          <w:color w:val="000000" w:themeColor="text1"/>
          <w:spacing w:val="0"/>
          <w:sz w:val="21"/>
          <w:szCs w:val="21"/>
          <w:shd w:val="clear" w:fill="FFFFFF"/>
          <w14:textFill>
            <w14:solidFill>
              <w14:schemeClr w14:val="tx1"/>
            </w14:solidFill>
          </w14:textFill>
        </w:rPr>
        <w:t>本次教学依托课件，构建了一个较为完善的知识体系。反思让我认识到，一份好的课件是教学的蓝图，而真正的课堂生命力在于教师如何基于这份蓝图，关注学生的实时反馈，灵活搭建思维阶梯，有效化解认知冲突。未来，我将在“可视化”、“活动化”和“层次化”上继续深耕，让沉淀溶解平衡的理论不仅在PPT上清晰，更在每一位学生的脑海中“溶解”并“沉淀”为扎实的学科素养。</w:t>
      </w:r>
    </w:p>
    <w:p w14:paraId="6638C9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var(--dsw-font-markdown-h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dsw-font-markdown-base)">
    <w:altName w:val="Segoe Print"/>
    <w:panose1 w:val="00000000000000000000"/>
    <w:charset w:val="00"/>
    <w:family w:val="auto"/>
    <w:pitch w:val="default"/>
    <w:sig w:usb0="00000000" w:usb1="00000000" w:usb2="00000000" w:usb3="00000000" w:csb0="00000000" w:csb1="00000000"/>
  </w:font>
  <w:font w:name="var(--dsw-font-markdown-h4)">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F36FC"/>
    <w:rsid w:val="69674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2025-10-06T10:11:24Z</dcterms:created>
  <dc:creator>zxh</dc:creator>
  <cp:lastModifiedBy>小梅花</cp:lastModifiedBy>
  <dcterms:modified xsi:type="dcterms:W3CDTF">2025-10-06T10:25:43Z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eyJoZGlkIjoiMTUwYjkwOGI0NGQ0ZTUzZWQzMTgxNDFlZDBmOTk3ZDMiLCJ1c2VySWQiOiI2NjQ3ODY0MzMifQ==</vt:lpwstr>
  </property>
  <property fmtid="{D5CDD505-2E9C-101B-9397-08002B2CF9AE}" pid="4" name="ICV">
    <vt:lpwstr>DBDEA2BDD92C405FA7BC7476AE5550AF_12</vt:lpwstr>
  </property>
</Properties>
</file>