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D37F">
      <w:pP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本次观摩了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老师的《酸碱中和滴定》一课，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这是一节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常态课</w:t>
      </w: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。以下是我对本节课的几点看法和建议： 一、 主要优点与亮点教学目标明确，核心突出。 本节课紧紧围绕“掌握酸碱中和滴定原理和操作技能”这一核心目标展开，同时将“严谨的科学态度”和“误差分析能力”作为隐性目标贯穿始终。教学思路清晰，重点（滴定操作）突出，难点（终点判断）把握准确。 教学环节设计科学，流程顺畅。 教师采用了“理论回顾-示范讲解-学生实践-数据分析-总结反思”的经典教学模式，环节紧凑，过渡自然。特别是理论回顾环节，教师通过精准提问，快速激活了学生的已有知识，为实验操作扫清了理论障碍，体现了“理论指导实践”的教学思想。 教师示范规范，指导到位。 教师的演示实验堪称典范。操作极其规范，尤其是对“滴定管的检漏、润洗”、“读数方法”以及关键的“半滴操作”技术都进行了慢动作、分解式的讲解，并巧妙地利用多媒体投影确保了所有学生都能清晰观察，有效突破了传统演示实验可视性差的瓶颈。 注重素养渗透，凸显学科本质。 教师在整个教学过程中，不断强调“严谨”“精确”“实事求是”的科学精神。在学生实验时，教师巡视指导，能及时发现并纠正学生操作中的问题（如锥形瓶的摇动方式、视线俯仰等）。在课后总结中，引导学生分析误差来源，而不是简单地追求“完美数据”，这很好地培养了学生的科学思维和求真意识。 课堂氛围积极，学生参与度高。 学生以小组为单位，分工协作，动手积极，讨论热烈。课堂充满了探究的氛围，体现了学生的主体地位。教师与学生的互动亲切自然，富有启发性。 </w:t>
      </w:r>
    </w:p>
    <w:p w14:paraId="181F3D48">
      <w:pPr>
        <w:numPr>
          <w:ilvl w:val="0"/>
          <w:numId w:val="1"/>
        </w:numP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一些</w:t>
      </w: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建议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对“终点判断”难点的突破可更深入。 终点判断的主观性是本课公认的难点。虽然教师进行了口头描述和演示，但对于“淡粉红色”这一标准，部分学生可能仍感模糊。建议是否可以增加一些辅助手段： 对比展示： 可预先制备好“终点前”、“理想终点”、“终点后”三个样本，让学生传阅观察，建立更直观的视觉标准。 技术融合： 若条件允许，可用pH传感器实时测定并投影滴定曲线，让学生直观看到“滴定突跃”，从理论上深刻理解指示剂变色的原理，将感性认识理性化。 对学生个体差异的关注可更细致。 课堂上观察到学生动手能力差异较大。部分小组操作熟练，而个别学生则显得手足无措。建议： 实施分层指导： 教师可更有针对性地巡视，重点关注操作不熟练的学生和小组，进行“手把手”的个别辅导。 发挥“小老师”作用： 可鼓励操作先完成、较规范的学生去帮助同组或邻组有困难的同学，实现“兵教兵”，提高指导效率。 课堂时间的分配可稍作优化。 实验操作部分耗时较长，导致最后的数据处理与反思环节略显仓促。误差分析是提升学生思维层次的关键，建议： 前置任务： 可将数据记录表和计算公式提前设计好学案，节约课堂书写时间。 明确时限： 为学生规定更严格的操作时间，确保留有充足时间（至少10分钟）进行深入的集体讨论和总结，使“反思”环节真正落到实处。 </w:t>
      </w:r>
    </w:p>
    <w:p w14:paraId="2B8D9063">
      <w:pPr>
        <w:numPr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三、 总而言之，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老师的这节《酸碱中和滴定》课是一节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不错</w:t>
      </w: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实验教学课。教学设计科学，教师基本功扎实，课堂组织高效，充分体现了化学学科以实验为基础的特点，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发展了学生的核心素养</w:t>
      </w: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 xml:space="preserve">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97344"/>
    <w:multiLevelType w:val="singleLevel"/>
    <w:tmpl w:val="0A997344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6C0E"/>
    <w:rsid w:val="26ED7BDF"/>
    <w:rsid w:val="3E8409D1"/>
    <w:rsid w:val="6B59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2025-09-26T08:44:35Z</dcterms:created>
  <dc:creator>zxh</dc:creator>
  <cp:lastModifiedBy>zxh</cp:lastModifiedBy>
  <dcterms:modified xsi:type="dcterms:W3CDTF">2025-09-26T08:51:13Z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eyJoZGlkIjoiMTUwYjkwOGI0NGQ0ZTUzZWQzMTgxNDFlZDBmOTk3ZDMifQ==</vt:lpwstr>
  </property>
  <property fmtid="{D5CDD505-2E9C-101B-9397-08002B2CF9AE}" pid="4" name="ICV">
    <vt:lpwstr>08BB6B1D499443D58D36FB6556CEF935_12</vt:lpwstr>
  </property>
</Properties>
</file>