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4865">
      <w:pPr>
        <w:spacing w:line="360" w:lineRule="auto"/>
        <w:jc w:val="center"/>
        <w:textAlignment w:val="center"/>
        <w:rPr>
          <w:rFonts w:hint="default" w:ascii="宋体" w:hAnsi="宋体" w:eastAsia="宋体" w:cs="宋体"/>
          <w:b w:val="0"/>
          <w:bCs/>
          <w:color w:val="auto"/>
          <w:sz w:val="32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b w:val="0"/>
          <w:bCs/>
          <w:color w:val="auto"/>
          <w:sz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11226800</wp:posOffset>
            </wp:positionH>
            <wp:positionV relativeFrom="topMargin">
              <wp:posOffset>11963400</wp:posOffset>
            </wp:positionV>
            <wp:extent cx="406400" cy="444500"/>
            <wp:effectExtent l="0" t="0" r="12700" b="1270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/>
          <w:color w:val="auto"/>
          <w:sz w:val="32"/>
          <w:lang w:val="en-US" w:eastAsia="zh-CN"/>
        </w:rPr>
        <w:t>2025普通高等学校招生全国统一考试</w:t>
      </w:r>
    </w:p>
    <w:p w14:paraId="6947AC48">
      <w:pPr>
        <w:spacing w:line="360" w:lineRule="auto"/>
        <w:jc w:val="center"/>
        <w:textAlignment w:val="center"/>
        <w:rPr>
          <w:rFonts w:hint="default" w:ascii="宋体" w:hAnsi="宋体" w:eastAsia="宋体" w:cs="宋体"/>
          <w:b w:val="0"/>
          <w:bCs/>
          <w:color w:val="auto"/>
          <w:sz w:val="32"/>
          <w:lang w:val="en-US" w:eastAsia="zh-CN"/>
        </w:rPr>
      </w:pPr>
      <w:r>
        <w:rPr>
          <w:rFonts w:ascii="宋体" w:hAnsi="宋体" w:eastAsia="宋体" w:cs="宋体"/>
          <w:b w:val="0"/>
          <w:bCs/>
          <w:color w:val="auto"/>
          <w:sz w:val="32"/>
        </w:rPr>
        <w:t>政治</w:t>
      </w:r>
      <w:r>
        <w:rPr>
          <w:rFonts w:hint="eastAsia" w:ascii="宋体" w:hAnsi="宋体" w:cs="宋体"/>
          <w:b w:val="0"/>
          <w:bCs/>
          <w:color w:val="auto"/>
          <w:sz w:val="32"/>
          <w:lang w:val="en-US" w:eastAsia="zh-CN"/>
        </w:rPr>
        <w:t xml:space="preserve">               </w:t>
      </w:r>
    </w:p>
    <w:p w14:paraId="535028CB">
      <w:pPr>
        <w:spacing w:line="360" w:lineRule="auto"/>
        <w:jc w:val="left"/>
        <w:textAlignment w:val="center"/>
      </w:pPr>
      <w:r>
        <w:rPr>
          <w:rFonts w:ascii="宋体" w:hAnsi="宋体" w:eastAsia="宋体" w:cs="宋体"/>
          <w:b/>
          <w:color w:val="auto"/>
          <w:sz w:val="24"/>
        </w:rPr>
        <w:t>一、单项选择题：本大题共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16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分，共计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48</w:t>
      </w:r>
      <w:r>
        <w:rPr>
          <w:rFonts w:ascii="宋体" w:hAnsi="宋体" w:eastAsia="宋体" w:cs="宋体"/>
          <w:b/>
          <w:color w:val="auto"/>
          <w:sz w:val="24"/>
        </w:rPr>
        <w:t>分。在每题给出的四个选项中，只有一个选项是最符合题意的。</w:t>
      </w:r>
    </w:p>
    <w:p w14:paraId="71F45A53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1.马克思、恩格斯在《共产党宣言》中提出：“共产主义革命就是同传统的所有制关系实行最彻底的决裂；毫不奇怪，它在自己的发展进程中要同传统的观念实行最彻底的决裂。”对此理解正确的是</w:t>
      </w:r>
    </w:p>
    <w:p w14:paraId="00CB27E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A.同传统的观念决裂意味着要彻底改变所有的传统观念 </w:t>
      </w:r>
    </w:p>
    <w:p w14:paraId="66D5423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B.所有制关系是实现两个“最彻底的决裂”的决定力量 </w:t>
      </w:r>
    </w:p>
    <w:p w14:paraId="0DF5347F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C. 同传统的所有制关系决裂就是要消灭资本主义私有制 </w:t>
      </w:r>
    </w:p>
    <w:p w14:paraId="7D9BC92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D.两个“最彻底的决裂”是科学社会主义产生的历史前提 </w:t>
      </w:r>
    </w:p>
    <w:p w14:paraId="5E88687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2.党的二十大报告系统总结了新时代十年的伟大变革。某校高三学生在学习这一内 容时，特别关注了其中关于理论成就的一段论述： 我们创立了新时代中国特色社会主义思想，明确坚持和发展中国特色社会主义的一系列治国理政新理念 新思想新战略，实现了马克思主义中国化时代化一创新理论武装头脑、指导实践、推动工作，为新时代 党和国家事业发展提供了根本遵循。 根据这段论述，我们可以概括出该理论成就的时代价值是</w:t>
      </w:r>
    </w:p>
    <w:p w14:paraId="4F8CEF99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A.凝练了党和人民的实践经验和集体智慧 </w:t>
      </w:r>
    </w:p>
    <w:p w14:paraId="06D908BE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B.提供了新时代党和国家事业发展的行动指南 </w:t>
      </w:r>
    </w:p>
    <w:p w14:paraId="34FA373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C.彰显了中国特色社会主义制度的优势和时代特点 </w:t>
      </w:r>
    </w:p>
    <w:p w14:paraId="24B896E5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D.成功在新形势下坚持和发展了中国特色社会主义 </w:t>
      </w:r>
    </w:p>
    <w:p w14:paraId="24B9A482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lang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1"/>
        </w:rPr>
        <w:t>近年来，植保无人机成为最接地气的“黑科技”和农民的“种田利器”。根据下图，下列说法正确的是</w:t>
      </w:r>
      <w:r>
        <w:rPr>
          <w:rFonts w:hint="default" w:ascii="Times New Roman" w:hAnsi="Times New Roman" w:cs="Times New Roman"/>
          <w:sz w:val="21"/>
          <w:lang w:eastAsia="zh-CN"/>
        </w:rPr>
        <w:t>(    )</w:t>
      </w:r>
    </w:p>
    <w:p w14:paraId="6E71DEF9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819650" cy="1266825"/>
            <wp:effectExtent l="0" t="0" r="0" b="9525"/>
            <wp:docPr id="100003" name="图片 100003" descr="@@@e85c5771ef20453189ee979a86486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e85c5771ef20453189ee979a864864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53946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①科技创新赋能农业生产，助推农业新质生产力的发展</w:t>
      </w:r>
    </w:p>
    <w:p w14:paraId="4A9016E9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②农村一二三产业深度融合，拓展了农民增收的新路径</w:t>
      </w:r>
    </w:p>
    <w:p w14:paraId="0797C0C0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③智慧农业重塑现代农业图景，助力乡村振兴战略实施</w:t>
      </w:r>
    </w:p>
    <w:p w14:paraId="7C70DC27">
      <w:pPr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④</w:t>
      </w:r>
      <w:r>
        <w:rPr>
          <w:rFonts w:hint="eastAsia" w:ascii="Times New Roman" w:hAnsi="Times New Roman" w:cs="Times New Roman"/>
          <w:sz w:val="21"/>
          <w:lang w:val="en-US" w:eastAsia="zh-CN"/>
        </w:rPr>
        <w:t>现代农业</w:t>
      </w:r>
      <w:r>
        <w:rPr>
          <w:rFonts w:hint="default" w:ascii="Times New Roman" w:hAnsi="Times New Roman" w:cs="Times New Roman"/>
          <w:sz w:val="21"/>
        </w:rPr>
        <w:t>取代传统农业生产方式，农业生产效率大幅提升</w:t>
      </w:r>
    </w:p>
    <w:p w14:paraId="5015A9A3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w:t>A．①③</w:t>
      </w:r>
      <w:r>
        <w:rPr>
          <w:rFonts w:hint="default" w:ascii="Times New Roman" w:hAnsi="Times New Roman" w:cs="Times New Roman"/>
          <w:sz w:val="21"/>
        </w:rPr>
        <w:tab/>
      </w:r>
      <w:r>
        <w:rPr>
          <w:rFonts w:hint="default" w:ascii="Times New Roman" w:hAnsi="Times New Roman" w:cs="Times New Roman"/>
          <w:sz w:val="21"/>
        </w:rPr>
        <w:t>B．①④</w:t>
      </w:r>
      <w:r>
        <w:rPr>
          <w:rFonts w:hint="default" w:ascii="Times New Roman" w:hAnsi="Times New Roman" w:cs="Times New Roman"/>
          <w:sz w:val="21"/>
        </w:rPr>
        <w:tab/>
      </w:r>
      <w:r>
        <w:rPr>
          <w:rFonts w:hint="default" w:ascii="Times New Roman" w:hAnsi="Times New Roman" w:cs="Times New Roman"/>
          <w:sz w:val="21"/>
        </w:rPr>
        <w:t>C．②③</w:t>
      </w:r>
      <w:r>
        <w:rPr>
          <w:rFonts w:hint="default" w:ascii="Times New Roman" w:hAnsi="Times New Roman" w:cs="Times New Roman"/>
          <w:sz w:val="21"/>
        </w:rPr>
        <w:tab/>
      </w:r>
      <w:r>
        <w:rPr>
          <w:rFonts w:hint="default" w:ascii="Times New Roman" w:hAnsi="Times New Roman" w:cs="Times New Roman"/>
          <w:sz w:val="21"/>
        </w:rPr>
        <w:t>D．②④</w:t>
      </w:r>
    </w:p>
    <w:p w14:paraId="2D78189B">
      <w:pPr>
        <w:numPr>
          <w:ilvl w:val="0"/>
          <w:numId w:val="1"/>
        </w:numPr>
        <w:spacing w:line="300" w:lineRule="auto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为全面贯彻2024年中央经济工作会议关于“大力提振消费，全方位扩大国内需求”总体要求，深圳市紧扣市民多样化、多层次、高品质的消费需求，及时推出若干措施（部分摘录如下）。以下措施与目的对应一致的是（   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4361"/>
        <w:gridCol w:w="3502"/>
      </w:tblGrid>
      <w:tr w14:paraId="08B2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D4975E1">
            <w:pPr>
              <w:spacing w:line="300" w:lineRule="auto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4961" w:type="dxa"/>
          </w:tcPr>
          <w:p w14:paraId="13A2C8FA">
            <w:pPr>
              <w:spacing w:line="300" w:lineRule="auto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措施</w:t>
            </w:r>
          </w:p>
        </w:tc>
        <w:tc>
          <w:tcPr>
            <w:tcW w:w="3963" w:type="dxa"/>
          </w:tcPr>
          <w:p w14:paraId="59D57BC9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目的</w:t>
            </w:r>
          </w:p>
        </w:tc>
      </w:tr>
      <w:tr w14:paraId="1646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1F9C053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①</w:t>
            </w:r>
          </w:p>
        </w:tc>
        <w:tc>
          <w:tcPr>
            <w:tcW w:w="4961" w:type="dxa"/>
          </w:tcPr>
          <w:p w14:paraId="79CB2F10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推动无堂食外卖店在外卖平台落实“互联网+明厨亮灶”</w:t>
            </w:r>
          </w:p>
        </w:tc>
        <w:tc>
          <w:tcPr>
            <w:tcW w:w="3963" w:type="dxa"/>
          </w:tcPr>
          <w:p w14:paraId="6DA8FDEB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深入整治消费突出问题，不断增强微观市场主体的创新力</w:t>
            </w:r>
          </w:p>
        </w:tc>
      </w:tr>
      <w:tr w14:paraId="6E85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9EBEF4C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②</w:t>
            </w:r>
          </w:p>
        </w:tc>
        <w:tc>
          <w:tcPr>
            <w:tcW w:w="4961" w:type="dxa"/>
          </w:tcPr>
          <w:p w14:paraId="42108272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发布“诚信计量、放心消费”承诺书，引导培育 1000家以上诚信计量示范单位</w:t>
            </w:r>
          </w:p>
        </w:tc>
        <w:tc>
          <w:tcPr>
            <w:tcW w:w="3963" w:type="dxa"/>
          </w:tcPr>
          <w:p w14:paraId="46174B66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不断加强社会信用建设，营造安心、放心、舒心的消费环境</w:t>
            </w:r>
          </w:p>
        </w:tc>
      </w:tr>
      <w:tr w14:paraId="019F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18EAE03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③</w:t>
            </w:r>
          </w:p>
        </w:tc>
        <w:tc>
          <w:tcPr>
            <w:tcW w:w="4961" w:type="dxa"/>
          </w:tcPr>
          <w:p w14:paraId="71B3C38B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针对儿童老人用品等22类重点消费品开展生产流通、线上线下一体化抽查</w:t>
            </w:r>
          </w:p>
        </w:tc>
        <w:tc>
          <w:tcPr>
            <w:tcW w:w="3963" w:type="dxa"/>
          </w:tcPr>
          <w:p w14:paraId="46B2573D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实施质量安全全链条监管，织密安全规范的社会保障体系</w:t>
            </w:r>
          </w:p>
        </w:tc>
      </w:tr>
      <w:tr w14:paraId="7100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56B3492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④</w:t>
            </w:r>
          </w:p>
        </w:tc>
        <w:tc>
          <w:tcPr>
            <w:tcW w:w="4961" w:type="dxa"/>
          </w:tcPr>
          <w:p w14:paraId="2BEC0B07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加速家电等消费品以旧换新标准提档升级，出台智能家居等一批定制产品和服务标准</w:t>
            </w:r>
          </w:p>
        </w:tc>
        <w:tc>
          <w:tcPr>
            <w:tcW w:w="3963" w:type="dxa"/>
          </w:tcPr>
          <w:p w14:paraId="6D86AE4A">
            <w:pPr>
              <w:spacing w:line="300" w:lineRule="auto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升级消费品和服务标准，扩大优质新型消费品和服务供给</w:t>
            </w:r>
          </w:p>
        </w:tc>
      </w:tr>
    </w:tbl>
    <w:p w14:paraId="78F87A9D">
      <w:pPr>
        <w:numPr>
          <w:ilvl w:val="0"/>
          <w:numId w:val="2"/>
        </w:numPr>
        <w:spacing w:line="300" w:lineRule="auto"/>
        <w:rPr>
          <w:rFonts w:hint="default" w:ascii="宋体" w:hAnsi="宋体" w:cs="宋体"/>
          <w:color w:val="000000"/>
          <w:szCs w:val="24"/>
          <w:lang w:val="en-US" w:eastAsia="zh-CN"/>
        </w:rPr>
      </w:pPr>
      <w:r>
        <w:rPr>
          <w:rFonts w:ascii="宋体" w:hAnsi="宋体" w:eastAsia="宋体" w:cs="Times New Roman"/>
          <w:b w:val="0"/>
          <w:bCs w:val="0"/>
        </w:rPr>
        <w:t>①②</w:t>
      </w:r>
      <w:r>
        <w:rPr>
          <w:rFonts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  <w:lang w:val="en-US" w:eastAsia="zh-CN"/>
        </w:rPr>
        <w:t xml:space="preserve">  </w:t>
      </w:r>
      <w:r>
        <w:rPr>
          <w:rFonts w:ascii="宋体" w:hAnsi="宋体" w:eastAsia="宋体" w:cs="Times New Roman"/>
        </w:rPr>
        <w:t>B.</w:t>
      </w:r>
      <w:r>
        <w:rPr>
          <w:rFonts w:hint="eastAsia" w:ascii="宋体" w:hAnsi="宋体" w:eastAsia="宋体" w:cs="Times New Roman"/>
          <w:lang w:val="en-US" w:eastAsia="zh-CN"/>
        </w:rPr>
        <w:t xml:space="preserve"> </w:t>
      </w:r>
      <w:r>
        <w:rPr>
          <w:rFonts w:ascii="宋体" w:hAnsi="宋体" w:eastAsia="宋体" w:cs="Times New Roman"/>
        </w:rPr>
        <w:t>①④</w:t>
      </w:r>
      <w:r>
        <w:rPr>
          <w:rFonts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  <w:lang w:val="en-US" w:eastAsia="zh-CN"/>
        </w:rPr>
        <w:t xml:space="preserve"> </w:t>
      </w:r>
      <w:r>
        <w:rPr>
          <w:rFonts w:ascii="宋体" w:hAnsi="宋体" w:eastAsia="宋体" w:cs="Times New Roman"/>
        </w:rPr>
        <w:t>C.</w:t>
      </w:r>
      <w:r>
        <w:rPr>
          <w:rFonts w:hint="eastAsia" w:ascii="宋体" w:hAnsi="宋体" w:eastAsia="宋体" w:cs="Times New Roman"/>
          <w:lang w:val="en-US" w:eastAsia="zh-CN"/>
        </w:rPr>
        <w:t xml:space="preserve"> </w:t>
      </w:r>
      <w:r>
        <w:rPr>
          <w:rFonts w:ascii="宋体" w:hAnsi="宋体" w:eastAsia="宋体" w:cs="Times New Roman"/>
        </w:rPr>
        <w:t>②③</w:t>
      </w:r>
      <w:r>
        <w:rPr>
          <w:rFonts w:hint="eastAsia" w:ascii="宋体" w:hAnsi="宋体" w:eastAsia="宋体" w:cs="Times New Roman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lang w:val="en-US" w:eastAsia="zh-CN"/>
        </w:rPr>
        <w:t xml:space="preserve">  </w:t>
      </w:r>
      <w:r>
        <w:rPr>
          <w:rFonts w:ascii="宋体" w:hAnsi="宋体" w:eastAsia="宋体" w:cs="Times New Roman"/>
          <w:b w:val="0"/>
          <w:bCs w:val="0"/>
        </w:rPr>
        <w:t>D.</w:t>
      </w:r>
      <w:r>
        <w:rPr>
          <w:rFonts w:hint="eastAsia" w:ascii="宋体" w:hAnsi="宋体" w:eastAsia="宋体" w:cs="Times New Roman"/>
          <w:b w:val="0"/>
          <w:bCs w:val="0"/>
          <w:lang w:val="en-US" w:eastAsia="zh-CN"/>
        </w:rPr>
        <w:t xml:space="preserve"> </w:t>
      </w:r>
      <w:r>
        <w:rPr>
          <w:rFonts w:ascii="宋体" w:hAnsi="宋体" w:eastAsia="宋体" w:cs="Times New Roman"/>
          <w:b w:val="0"/>
          <w:bCs w:val="0"/>
        </w:rPr>
        <w:t>②④</w:t>
      </w:r>
    </w:p>
    <w:p w14:paraId="4935895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Cs w:val="24"/>
        </w:rPr>
        <w:t>.某市以街道社区党组织为核心，按区域联结辖区单位、行业等各领域党组织、群团组织和各类社会组织，采取派驻党建指导员等方式组建联合党委，畅通各类群体之间的诉求表达和协商渠道，推动区域党建工作互联互动。这一做法（   ）</w:t>
      </w:r>
    </w:p>
    <w:p w14:paraId="635249D5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①意在完善基层群众自治制度，提高党的群众组织力</w:t>
      </w:r>
    </w:p>
    <w:p w14:paraId="28C7745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②能够推动实现民主决策，消除不同群体间的利益冲突</w:t>
      </w:r>
    </w:p>
    <w:p w14:paraId="5667432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③有助于发挥基层群众的积极性，增强党的社会号召力</w:t>
      </w:r>
    </w:p>
    <w:p w14:paraId="01646F71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④有利于保持党同人民群众的血肉联系，提高基层治理能力</w:t>
      </w:r>
    </w:p>
    <w:p w14:paraId="1D87BFDE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A．①②</w:t>
      </w:r>
      <w:r>
        <w:rPr>
          <w:rFonts w:hint="eastAsia" w:ascii="宋体" w:hAnsi="宋体" w:eastAsia="宋体" w:cs="宋体"/>
          <w:color w:val="000000"/>
          <w:szCs w:val="24"/>
        </w:rPr>
        <w:tab/>
      </w:r>
      <w:r>
        <w:rPr>
          <w:rFonts w:hint="eastAsia" w:ascii="宋体" w:hAnsi="宋体" w:eastAsia="宋体" w:cs="宋体"/>
          <w:color w:val="000000"/>
          <w:szCs w:val="24"/>
        </w:rPr>
        <w:t>B．①③</w:t>
      </w:r>
      <w:r>
        <w:rPr>
          <w:rFonts w:hint="eastAsia" w:ascii="宋体" w:hAnsi="宋体" w:eastAsia="宋体" w:cs="宋体"/>
          <w:color w:val="000000"/>
          <w:szCs w:val="24"/>
        </w:rPr>
        <w:tab/>
      </w:r>
      <w:r>
        <w:rPr>
          <w:rFonts w:hint="eastAsia" w:ascii="宋体" w:hAnsi="宋体" w:eastAsia="宋体" w:cs="宋体"/>
          <w:color w:val="000000"/>
          <w:szCs w:val="24"/>
        </w:rPr>
        <w:t>C．②④</w:t>
      </w:r>
      <w:r>
        <w:rPr>
          <w:rFonts w:hint="eastAsia" w:ascii="宋体" w:hAnsi="宋体" w:eastAsia="宋体" w:cs="宋体"/>
          <w:color w:val="000000"/>
          <w:szCs w:val="24"/>
        </w:rPr>
        <w:tab/>
      </w:r>
      <w:r>
        <w:rPr>
          <w:rFonts w:hint="eastAsia" w:ascii="宋体" w:hAnsi="宋体" w:eastAsia="宋体" w:cs="宋体"/>
          <w:color w:val="000000"/>
          <w:szCs w:val="24"/>
        </w:rPr>
        <w:t>D．③④</w:t>
      </w:r>
    </w:p>
    <w:p w14:paraId="5C0A6BE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4"/>
        </w:rPr>
        <w:t>. 2024年11月13日，无锡市政协组织召开《无锡市数据条例（草案）》（以下简称《条例》）立法协商会。委员们认为，立法理念先进、立法水平较高、符合我市实际情况。与会委员在“广泛调研、深入思考、充分讨论”的基础上，就《条例》修改完善发表了意见建议，为无锡数据工作、高质量发展，积极献计出力。材料表明（    ）</w:t>
      </w:r>
    </w:p>
    <w:p w14:paraId="0FD0AC2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A．发挥了政协专门协商机构的作用和协商民主重要渠道的优势</w:t>
      </w:r>
    </w:p>
    <w:p w14:paraId="0E08DFB5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B．人民政协履行了政治协商和参政议政的国家职能</w:t>
      </w:r>
    </w:p>
    <w:p w14:paraId="6BCA745F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C．人民政协在立法过程中发挥着主体作用</w:t>
      </w:r>
    </w:p>
    <w:p w14:paraId="07FEF503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D．立法协商是社会主义民主政治的特有形式和独特优势</w:t>
      </w:r>
    </w:p>
    <w:p w14:paraId="17A232D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Cs w:val="24"/>
        </w:rPr>
        <w:t>.经济大省是稳住全国经济基本盘的“压舱石”，促进经济持续向好，经济大省责无旁贷、重任在肩。江苏省在落实“经济大省挑大梁”使命过程中，既立足自身制造业基础优势，大力发展先进制造业，又主动对接国家重大战略，在科技创新、绿色转型等领域先行先试，探索出一条特色发展路径，为全国经济发展提供经验。这一实践</w:t>
      </w:r>
    </w:p>
    <w:p w14:paraId="2FDF151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①坚持了矛盾普遍性与特殊性的辩证统一</w:t>
      </w:r>
    </w:p>
    <w:p w14:paraId="1AE59B1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②体现了抓住主要矛盾就能推动事物发展</w:t>
      </w:r>
    </w:p>
    <w:p w14:paraId="3BABE158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③表明发挥主观能动性是改造世界的前提</w:t>
      </w:r>
    </w:p>
    <w:p w14:paraId="634DB423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④做到了在尊重客观规律基础上积极作为</w:t>
      </w:r>
    </w:p>
    <w:p w14:paraId="08C3175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 xml:space="preserve">A.①② 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Cs w:val="24"/>
        </w:rPr>
        <w:t xml:space="preserve"> B.①④  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Cs w:val="24"/>
        </w:rPr>
        <w:t xml:space="preserve">C.②③ 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Cs w:val="24"/>
        </w:rPr>
        <w:t xml:space="preserve"> D.③④</w:t>
      </w:r>
    </w:p>
    <w:p w14:paraId="33A32909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Cs w:val="24"/>
        </w:rPr>
        <w:t>.《自然》新闻消息，欧洲核子研究中心大型强子对撞机的物理学家近日发现了一项现代“炼金术”，可成功将铅元素转变成金。物理届量子炼金术通过量子操控实现元素嬗变，打破了传统化学变化中元素守恒的观念。这一成果引发了科学界对物质本质的重新思考。从哲学角度看，这体现了</w:t>
      </w:r>
    </w:p>
    <w:p w14:paraId="615257B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① 真理在发展中不断超越自身，否定已有认识</w:t>
      </w:r>
    </w:p>
    <w:p w14:paraId="27D13C9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② 实践是认识发展的动力，推动人类认识深化</w:t>
      </w:r>
    </w:p>
    <w:p w14:paraId="0ED6B1B3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③ 物质的客观实在性随着科技进步而发生改变</w:t>
      </w:r>
    </w:p>
    <w:p w14:paraId="01B49064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④ 思维和存在具有同一性，人类能认识物质奥秘</w:t>
      </w:r>
    </w:p>
    <w:p w14:paraId="5ABF122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A. ①②       B. ①③       C. ②④          D. ③④</w:t>
      </w:r>
    </w:p>
    <w:p w14:paraId="6303C3FD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Cs w:val="24"/>
        </w:rPr>
        <w:t>.2025年5月1日正式实施的《中华人民共和国农村集体经济组织法》用法治照亮农村经济发展，全国9亿多农村集体经济组织成员的权益有了法律保障，为新型农村集体经济高质量发展保驾护航，对维护好广大农民的根本利益，实现共同富裕具有重要意义。这说明</w:t>
      </w:r>
    </w:p>
    <w:p w14:paraId="52B1F15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A．生产力跨越式发展必然导致生产关系的调整</w:t>
      </w:r>
    </w:p>
    <w:p w14:paraId="7A14DE43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B．推动生产方式变革可以实现社会形态的更替</w:t>
      </w:r>
    </w:p>
    <w:p w14:paraId="64379401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C．社会发展是在社会基本矛盾的解决中实现的</w:t>
      </w:r>
    </w:p>
    <w:p w14:paraId="12536271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D．完善生产关系可以促进经济基础巩固和发展</w:t>
      </w:r>
    </w:p>
    <w:p w14:paraId="15A8AB43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10.2024年3月22日我国首部AI全流程微短剧《中国神话》发布。微短剧共六集，分别为《补天》《逐日》《奔月》《填海》《治水》《尝百草》，由一个个经典神话故事起笔，借助AI技术拓展人们对神话的常规想象。女娲勇敢无畏、无私奉献的精神，在今天“人类命运共同体”理念中得以传承；神农尝百草，心怀苍生的大爱，延续在“当代神农”对中医草药孜孜不倦的研究之中……《中国神话》微短剧（   ）</w:t>
      </w:r>
    </w:p>
    <w:p w14:paraId="00E42D7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①坚持以我为主，是探索中华文明与科技交融的生动实践</w:t>
      </w:r>
    </w:p>
    <w:p w14:paraId="0565146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②既克服又保留，充分发挥中华优秀传统文化的现代价值</w:t>
      </w:r>
    </w:p>
    <w:p w14:paraId="67672D9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③弘扬了主旋律，展现了传统文化与时代精神跨时空和鸣</w:t>
      </w:r>
    </w:p>
    <w:p w14:paraId="7C3130CE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④推陈出新，展现了传统文化在现代社会中的生命力和活力</w:t>
      </w:r>
    </w:p>
    <w:p w14:paraId="7B70D316">
      <w:pPr>
        <w:shd w:val="clear" w:color="auto" w:fill="auto"/>
        <w:spacing w:line="360" w:lineRule="auto"/>
        <w:jc w:val="left"/>
        <w:textAlignment w:val="center"/>
        <w:rPr>
          <w:rFonts w:hint="default" w:ascii="宋体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A．①② 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ab/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  B．②③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ab/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     C．②④      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ab/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>D．③④</w:t>
      </w:r>
    </w:p>
    <w:p w14:paraId="7BC66A66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11．</w:t>
      </w:r>
      <w:r>
        <w:rPr>
          <w:rFonts w:hint="eastAsia" w:ascii="宋体" w:hAnsi="宋体" w:eastAsia="宋体" w:cs="宋体"/>
          <w:sz w:val="21"/>
          <w:szCs w:val="21"/>
        </w:rPr>
        <w:t>下表为2025年部分国家政治体制基本信息</w:t>
      </w:r>
    </w:p>
    <w:tbl>
      <w:tblPr>
        <w:tblStyle w:val="4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07"/>
        <w:gridCol w:w="1575"/>
        <w:gridCol w:w="1931"/>
        <w:gridCol w:w="1547"/>
        <w:gridCol w:w="2565"/>
      </w:tblGrid>
      <w:tr w14:paraId="1673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90" w:hRule="atLeast"/>
        </w:trPr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EDDA9B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1F1E9F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国体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09E9E0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政体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552C5B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国家结构形式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66DBE6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中央与地方权力划分特点</w:t>
            </w:r>
          </w:p>
        </w:tc>
      </w:tr>
      <w:tr w14:paraId="77FC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7E8F7A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甲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41ABEA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资产阶级专政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AC51AFA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议会制君主立宪制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96F912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单一制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14E881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地方权力由中央授予</w:t>
            </w:r>
          </w:p>
        </w:tc>
      </w:tr>
      <w:tr w14:paraId="7D2E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A4699A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乙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62FC9B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资产阶级专政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FB031E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总统制共和制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34AB8F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联邦制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D39657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中央与地方分享权力</w:t>
            </w:r>
          </w:p>
        </w:tc>
      </w:tr>
      <w:tr w14:paraId="162C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9D68D1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丙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C1668D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无产阶级专政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F3DB1B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人民代表大会制度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A7D410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单一制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289A6A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中央统一领导，地方有自主权</w:t>
            </w:r>
          </w:p>
        </w:tc>
      </w:tr>
      <w:tr w14:paraId="1FD6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DF961B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丁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1B64C4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资产阶级专政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D3FBD2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半总统制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801F1A1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联邦制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D783E6">
            <w:pPr>
              <w:shd w:val="clear" w:color="auto" w:fill="auto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地方享有高度自治权</w:t>
            </w:r>
          </w:p>
        </w:tc>
      </w:tr>
    </w:tbl>
    <w:p w14:paraId="475521E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下列对四国政治体制的理解，正确的是</w:t>
      </w:r>
    </w:p>
    <w:p w14:paraId="2BCC0C08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A．甲国的国家元首由议会选举中获胜的政党领袖担任</w:t>
      </w:r>
    </w:p>
    <w:p w14:paraId="68082176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B．乙国国家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管理</w:t>
      </w:r>
      <w:r>
        <w:rPr>
          <w:rFonts w:hint="eastAsia" w:ascii="宋体" w:hAnsi="宋体" w:eastAsia="宋体" w:cs="宋体"/>
          <w:sz w:val="21"/>
          <w:szCs w:val="21"/>
        </w:rPr>
        <w:t>形式下，州政府可制定与联邦法律相抵触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的政策</w:t>
      </w:r>
    </w:p>
    <w:p w14:paraId="453C1DE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C．丙国的国体决定其政体必须维护人民根本利益，具有独特优越性</w:t>
      </w:r>
    </w:p>
    <w:p w14:paraId="78200D41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D．丁国的国家结构形式与乙国相同，但政体中总统的权力小于乙国总统</w:t>
      </w:r>
    </w:p>
    <w:p w14:paraId="2F891C38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12．</w:t>
      </w:r>
      <w:r>
        <w:rPr>
          <w:rFonts w:hint="eastAsia" w:ascii="宋体" w:hAnsi="宋体" w:eastAsia="宋体" w:cs="宋体"/>
          <w:sz w:val="21"/>
          <w:szCs w:val="21"/>
        </w:rPr>
        <w:t>2025年4月14日至18日，习近平主席对越南、马来西亚、柬埔寨进行国事访问。此访是在世界百年变局加速演进之际一次备受瞩目的周边外交行动。中国同东南亚国家不仅在传统的制造业、农业贸易领域加深合作，还在数字经济、绿色能源等新兴领域拓展合作空间。中国与东南亚国家深化经贸合作</w:t>
      </w:r>
    </w:p>
    <w:p w14:paraId="6D1CB65D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A．体现中国—东盟关系由竞争转为合作，实现共同发展</w:t>
      </w:r>
    </w:p>
    <w:p w14:paraId="64C2B7E8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B．目的是降低对欧美市场的依赖，减少贸易风险</w:t>
      </w:r>
    </w:p>
    <w:p w14:paraId="4374125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C．发展周边外交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能够推动区域经济一体化，增强区域竞争力</w:t>
      </w:r>
    </w:p>
    <w:p w14:paraId="75792184">
      <w:pPr>
        <w:shd w:val="clear" w:color="auto" w:fill="auto"/>
        <w:spacing w:line="360" w:lineRule="auto"/>
        <w:jc w:val="left"/>
        <w:textAlignment w:val="center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D．表明我国把对外开放作为自身发展的根本基点</w:t>
      </w:r>
    </w:p>
    <w:p w14:paraId="4B0D1278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13.《中华人民共和国民法典》于2020年5月28日由十三届全国人大三次会议通过，并自2021年1月1日起施行。本次立法一个最鲜明的变化，就是人格权独立成编，这是世界上第一部把人格权单独成编的民法典，体现了我国立法对人格权的确认和重视。人格权独立成编</w:t>
      </w:r>
    </w:p>
    <w:p w14:paraId="66CEE2A8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A.彰显民法优先保护人身自由和人格尊严    B.正式确立了独立民事主体享有人身自由</w:t>
      </w:r>
    </w:p>
    <w:p w14:paraId="3D47F9F3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C.是为了保护自然人的人身利益不受侵害    D.确保侵害公民人身权利的行为受到惩处</w:t>
      </w:r>
    </w:p>
    <w:p w14:paraId="7055E254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14.据统计，目前超七成骑手为“众包”模式，其社保覆盖率不足15%。京东率先打破规避社保责任的商业惯性，自2025年3月1日起，给骑手缴纳“五险一金”，承诺将逐步为外卖全职骑手缴纳社保，同时为兼职骑手提供意外险和健康医疗险。此举被媒体称为“劳动者权益保障和行业高质量发展转型的标志性事件”。京东的做法</w:t>
      </w:r>
    </w:p>
    <w:p w14:paraId="01B000F5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①合法、公平，有利于构建和谐稳定的劳动关系</w:t>
      </w:r>
    </w:p>
    <w:p w14:paraId="3822D748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②通过签订劳动合同与外卖骑手建立起劳动关系</w:t>
      </w:r>
    </w:p>
    <w:p w14:paraId="6B6967BA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③有利于保障劳动者享受社会保险和福利的权利</w:t>
      </w:r>
    </w:p>
    <w:p w14:paraId="236E81D9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④激发了骑手主动完成劳动任务，遵守劳动纪律</w:t>
      </w:r>
    </w:p>
    <w:p w14:paraId="5889B7C2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A.①②       B．②③         C．①③       D．③④</w:t>
      </w:r>
    </w:p>
    <w:p w14:paraId="4DC0B32E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ascii="宋体" w:hAnsi="宋体" w:eastAsia="宋体" w:cs="宋体"/>
          <w:color w:val="000000"/>
          <w:szCs w:val="24"/>
        </w:rPr>
        <w:t>15．</w:t>
      </w:r>
      <w:r>
        <w:rPr>
          <w:rFonts w:hint="eastAsia" w:ascii="宋体" w:hAnsi="宋体" w:eastAsia="宋体" w:cs="宋体"/>
          <w:color w:val="000000"/>
          <w:szCs w:val="24"/>
        </w:rPr>
        <w:t>过度包装指的是包装空隙率、包装层数或包装成本超过要求的包装。新国标针对不同类别和不同销售包装重量的生鲜食用农产品设置了10%至25%包装空隙率上限；蔬菜(含食用菌)、蛋不超过3层包装，水果、畜禽肉、水产品不超过4层包装；生鲜食用农产品包装成本与销售价格的比率不超过20%……新国标的实施必将推动我国生鲜食用农产品市场的健康发展。根据材料，下列判断或推理正确的是（   ）</w:t>
      </w:r>
    </w:p>
    <w:p w14:paraId="5CCA304A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A．生鲜食用农产品过度包装是包装空隙率超过25%的包装</w:t>
      </w:r>
    </w:p>
    <w:p w14:paraId="5DCC23FA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B．以“超过3层的蛋类包装就是过度包装”为前提，可以进行换质位推理</w:t>
      </w:r>
    </w:p>
    <w:p w14:paraId="6CCC0487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C．生鲜食用农产品包装成本与销售价格的比率不超过20%就不是过度包装</w:t>
      </w:r>
    </w:p>
    <w:p w14:paraId="34EF7849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D．要推动我国生鲜食用农产品市场的健康发展，必须推动新国标的实施</w:t>
      </w:r>
    </w:p>
    <w:p w14:paraId="21E128A7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ascii="宋体" w:hAnsi="宋体" w:eastAsia="宋体" w:cs="宋体"/>
          <w:color w:val="000000"/>
          <w:szCs w:val="24"/>
        </w:rPr>
        <w:t>16．</w:t>
      </w:r>
      <w:r>
        <w:rPr>
          <w:rFonts w:hint="eastAsia" w:ascii="宋体" w:hAnsi="宋体" w:eastAsia="宋体" w:cs="宋体"/>
          <w:color w:val="000000"/>
          <w:szCs w:val="24"/>
        </w:rPr>
        <w:t>“隐形”的暗物质如何被“看见”？宇宙中存在大量产生引力却不发光的物质，这样的物质被称作“暗物质”。科学家能够基于暗物质的引力效应，测绘其在宇宙中的分布，进而探索暗物质是什么。科学家的探索（   ）</w:t>
      </w:r>
    </w:p>
    <w:p w14:paraId="25B52B17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A．运用逆向思维，建立暗物质与引力间的联系</w:t>
      </w:r>
      <w:r>
        <w:rPr>
          <w:rFonts w:hint="eastAsia" w:ascii="宋体" w:hAnsi="宋体" w:eastAsia="宋体" w:cs="宋体"/>
          <w:color w:val="000000"/>
          <w:szCs w:val="24"/>
        </w:rPr>
        <w:tab/>
      </w:r>
    </w:p>
    <w:p w14:paraId="6EF4F01A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B．坚持辩证思维，有利于深化对暗物质的认识</w:t>
      </w:r>
    </w:p>
    <w:p w14:paraId="4C76DF6A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C．运用发散思维，从不同角度找寻多样性方案</w:t>
      </w:r>
      <w:r>
        <w:rPr>
          <w:rFonts w:hint="eastAsia" w:ascii="宋体" w:hAnsi="宋体" w:eastAsia="宋体" w:cs="宋体"/>
          <w:color w:val="000000"/>
          <w:szCs w:val="24"/>
        </w:rPr>
        <w:tab/>
      </w:r>
    </w:p>
    <w:p w14:paraId="771E77CB">
      <w:pPr>
        <w:tabs>
          <w:tab w:val="left" w:pos="4873"/>
        </w:tabs>
        <w:spacing w:line="360" w:lineRule="auto"/>
        <w:jc w:val="left"/>
        <w:textAlignment w:val="center"/>
        <w:rPr>
          <w:rFonts w:hint="eastAsia" w:ascii="宋体" w:hAnsi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4"/>
        </w:rPr>
        <w:t>D．坚持突破陈规，展现创新思维步骤的跨越性</w:t>
      </w:r>
    </w:p>
    <w:p w14:paraId="5DE37014">
      <w:pPr>
        <w:jc w:val="both"/>
        <w:textAlignment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二</w:t>
      </w:r>
      <w:r>
        <w:rPr>
          <w:rFonts w:ascii="宋体" w:hAnsi="宋体" w:eastAsia="宋体" w:cs="宋体"/>
          <w:b/>
          <w:color w:val="auto"/>
          <w:sz w:val="24"/>
        </w:rPr>
        <w:t>、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非</w:t>
      </w:r>
      <w:r>
        <w:rPr>
          <w:rFonts w:ascii="宋体" w:hAnsi="宋体" w:eastAsia="宋体" w:cs="宋体"/>
          <w:b/>
          <w:color w:val="auto"/>
          <w:sz w:val="24"/>
        </w:rPr>
        <w:t>选择题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52分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）</w:t>
      </w:r>
    </w:p>
    <w:p w14:paraId="24571BCD">
      <w:pPr>
        <w:shd w:val="clear" w:color="auto" w:fill="FFFFFF"/>
        <w:spacing w:line="360" w:lineRule="auto"/>
        <w:jc w:val="left"/>
        <w:textAlignment w:val="center"/>
      </w:pPr>
      <w:r>
        <w:t>17．阅读材料，完成下列要求。</w:t>
      </w:r>
    </w:p>
    <w:p w14:paraId="0BC559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当今世界，百年变局加速演进，世界进入新的动荡变革期。中国始终坚持以自身发展和对外政策的确定性为全球增添稳定性，坚定做“赋能型大国”。</w:t>
      </w:r>
    </w:p>
    <w:p w14:paraId="798240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2024年，中国经济实现5%的增长，对世界经济增长的贡献率保持在30%左右，是150多个国家和地区的主要贸易伙伴，积极推动制造业外资准入限制措施“清零”，给予所有同中国建交的最不发达国家100%税目产品零关税待遇，向世界释放超大规模市场红利。通过“鲁班工坊”项目，中国向全球南方国家提供职业培训和技术支持，以中国产业优势带动各方加快工业化现代化步伐。面对日益严峻的全球挑战，中国积极参与气候变化全球治理，切实履行《巴黎协定》，提出《全球人工智能治理倡议》和《人工智能能力建设普惠计划》，让“同球共济”、团结协作、互利共赢成为时代的最强音。</w:t>
      </w:r>
    </w:p>
    <w:p w14:paraId="1F0E60D6">
      <w:pPr>
        <w:shd w:val="clear" w:color="auto" w:fill="FFFFFF"/>
        <w:spacing w:line="360" w:lineRule="auto"/>
        <w:jc w:val="left"/>
        <w:textAlignment w:val="center"/>
        <w:rPr>
          <w:rFonts w:hint="eastAsia" w:eastAsia="宋体"/>
          <w:lang w:eastAsia="zh-CN"/>
        </w:rPr>
      </w:pPr>
      <w:r>
        <w:rPr>
          <w:sz w:val="21"/>
        </w:rPr>
        <w:t>结合材料，运用《当代国际政治与经济》的知识，谈谈</w:t>
      </w:r>
      <w:r>
        <w:rPr>
          <w:rFonts w:hint="eastAsia" w:ascii="Times New Roman" w:eastAsia="宋体"/>
          <w:sz w:val="21"/>
          <w:lang w:val="en-US" w:eastAsia="zh-CN"/>
        </w:rPr>
        <w:t>你对</w:t>
      </w:r>
      <w:r>
        <w:rPr>
          <w:sz w:val="21"/>
        </w:rPr>
        <w:t>中国坚定做“赋能型大国”的认识。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</w:t>
      </w:r>
      <w:r>
        <w:rPr>
          <w:rFonts w:hint="eastAsia"/>
          <w:sz w:val="21"/>
          <w:lang w:eastAsia="zh-CN"/>
        </w:rPr>
        <w:t>）</w:t>
      </w:r>
    </w:p>
    <w:p w14:paraId="4148B281">
      <w:pPr>
        <w:shd w:val="clear" w:color="auto" w:fill="FFFFFF"/>
        <w:spacing w:line="360" w:lineRule="auto"/>
        <w:jc w:val="left"/>
        <w:textAlignment w:val="center"/>
      </w:pPr>
    </w:p>
    <w:p w14:paraId="08FD32AE">
      <w:pPr>
        <w:shd w:val="clear" w:color="auto" w:fill="FFFFFF"/>
        <w:spacing w:line="360" w:lineRule="auto"/>
        <w:jc w:val="left"/>
        <w:textAlignment w:val="center"/>
      </w:pPr>
    </w:p>
    <w:p w14:paraId="12B1CA70">
      <w:pPr>
        <w:shd w:val="clear" w:color="auto" w:fill="FFFFFF"/>
        <w:spacing w:line="360" w:lineRule="auto"/>
        <w:jc w:val="left"/>
        <w:textAlignment w:val="center"/>
      </w:pPr>
    </w:p>
    <w:p w14:paraId="01F6D8B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18．阅读材料，完成下列要求。</w:t>
      </w:r>
    </w:p>
    <w:p w14:paraId="6343DD4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南京以技术赋能与基层创新双轮驱动，构建现代化城市治理新范式。</w:t>
      </w:r>
    </w:p>
    <w:p w14:paraId="33231B5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数字治理上，“智慧南京” 整合 30 多部门数据，打造城市运行监测 “一张图”，AI 优化信号灯使主城区高峰拥堵指数下降 15%；“我的南京” APP 集成 200 多项政务服务，二手房交易实现线上 1 小时办结，公共数据在法治框架下开放，催生停车导航等便民应用。</w:t>
      </w:r>
    </w:p>
    <w:p w14:paraId="0D8D8C4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基层治理中，党建引领成效突出。仙林街道 “六化融合” 模式下，200 支党员志愿服务队年均解决 5000 件民生问题，信访量全市最低；“有事好商量” 等协商平台保障居民参与社区事务，化解矛盾 300 余起，1.2 万个 “多网合一” 网格，事件办结率达 98%，平均处理时长 6 小时；“时间银行” 吸引超 8 万志愿者，以法治规范志愿服务，实现共建共治共享。</w:t>
      </w:r>
    </w:p>
    <w:p w14:paraId="1047241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凭借创新实践，南京在数字治理领域位居全国第 6，获评 “中国领军智慧城市”，网格化、“时间银行” 等模式获国家级认可，为超大城市治理提供可复制的范本。</w:t>
      </w:r>
    </w:p>
    <w:p w14:paraId="446BFA9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结合材料，运用《政治与法治》相关知识，分析南京是如何推进治理体系和能力现代化的？</w:t>
      </w:r>
      <w:r>
        <w:rPr>
          <w:rFonts w:hint="eastAsia" w:ascii="宋体" w:hAnsi="宋体" w:eastAsia="宋体" w:cs="宋体"/>
          <w:lang w:val="en-US" w:eastAsia="zh-CN"/>
        </w:rPr>
        <w:t>（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en-US" w:eastAsia="zh-CN"/>
        </w:rPr>
        <w:t>分）</w:t>
      </w:r>
    </w:p>
    <w:p w14:paraId="3E9FB578">
      <w:pPr>
        <w:rPr>
          <w:rFonts w:hint="eastAsia" w:ascii="宋体" w:hAnsi="宋体" w:eastAsia="宋体" w:cs="宋体"/>
          <w:lang w:val="en-US" w:eastAsia="zh-CN"/>
        </w:rPr>
      </w:pPr>
    </w:p>
    <w:p w14:paraId="3839A263">
      <w:pPr>
        <w:rPr>
          <w:rFonts w:hint="eastAsia" w:ascii="宋体" w:hAnsi="宋体" w:eastAsia="宋体" w:cs="宋体"/>
          <w:lang w:val="en-US" w:eastAsia="zh-CN"/>
        </w:rPr>
      </w:pPr>
    </w:p>
    <w:p w14:paraId="6189D7FC">
      <w:pPr>
        <w:rPr>
          <w:rFonts w:hint="eastAsia" w:ascii="宋体" w:hAnsi="宋体" w:eastAsia="宋体" w:cs="宋体"/>
          <w:lang w:val="en-US" w:eastAsia="zh-CN"/>
        </w:rPr>
      </w:pPr>
    </w:p>
    <w:p w14:paraId="2BB164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10" w:hangingChars="100"/>
        <w:jc w:val="left"/>
        <w:textAlignment w:val="center"/>
        <w:rPr>
          <w:rFonts w:hint="default" w:ascii="楷体" w:hAnsi="楷体" w:eastAsia="楷体" w:cs="楷体"/>
          <w:sz w:val="21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Cs w:val="24"/>
          <w:lang w:val="en-US" w:eastAsia="zh-CN"/>
        </w:rPr>
        <w:t>.</w:t>
      </w:r>
      <w:r>
        <w:rPr>
          <w:rFonts w:hint="eastAsia" w:ascii="楷体" w:hAnsi="楷体" w:eastAsia="楷体" w:cs="楷体"/>
          <w:sz w:val="21"/>
          <w:szCs w:val="22"/>
          <w:lang w:val="en-US" w:eastAsia="zh-CN"/>
        </w:rPr>
        <w:t>这个春节，一部《哪吒之魔童闹海》“独霸”春节电影榜首。随着电影爆火，与哪吒相关的联名</w:t>
      </w:r>
      <w:r>
        <w:rPr>
          <w:rFonts w:hint="default" w:ascii="Times New Roman" w:hAnsi="Times New Roman" w:eastAsia="楷体" w:cs="Times New Roman"/>
          <w:sz w:val="21"/>
          <w:szCs w:val="22"/>
          <w:lang w:val="en-US" w:eastAsia="zh-CN"/>
        </w:rPr>
        <w:t>IP产</w:t>
      </w:r>
      <w:r>
        <w:rPr>
          <w:rFonts w:hint="default" w:ascii="楷体" w:hAnsi="楷体" w:eastAsia="楷体" w:cs="楷体"/>
          <w:sz w:val="21"/>
          <w:szCs w:val="22"/>
          <w:lang w:val="en-US" w:eastAsia="zh-CN"/>
        </w:rPr>
        <w:t>品应接不暇，伴随而来的还有商标版权相关纠纷。</w:t>
      </w:r>
    </w:p>
    <w:p w14:paraId="404067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420" w:firstLineChars="200"/>
        <w:jc w:val="left"/>
        <w:textAlignment w:val="center"/>
        <w:rPr>
          <w:rFonts w:hint="eastAsia" w:ascii="楷体" w:hAnsi="楷体" w:eastAsia="楷体" w:cs="楷体"/>
          <w:sz w:val="21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sz w:val="21"/>
          <w:szCs w:val="22"/>
          <w:lang w:val="en-US" w:eastAsia="zh-CN"/>
        </w:rPr>
        <w:t>2025年2月10</w:t>
      </w:r>
      <w:r>
        <w:rPr>
          <w:rFonts w:hint="default" w:ascii="楷体" w:hAnsi="楷体" w:eastAsia="楷体" w:cs="楷体"/>
          <w:sz w:val="21"/>
          <w:szCs w:val="22"/>
          <w:lang w:val="en-US" w:eastAsia="zh-CN"/>
        </w:rPr>
        <w:t>日，</w:t>
      </w:r>
      <w:r>
        <w:rPr>
          <w:rFonts w:hint="eastAsia" w:ascii="楷体" w:hAnsi="楷体" w:eastAsia="楷体" w:cs="楷体"/>
          <w:sz w:val="21"/>
          <w:szCs w:val="22"/>
          <w:lang w:val="en-US" w:eastAsia="zh-CN"/>
        </w:rPr>
        <w:t>《哪吒之魔童闹海》出品方起诉手游《某某神域》使用“哪吒”“哪吒魔王子”美术作品著作权案的公告送达，向《某某神域》开发商及其他相关公司提出了诉讼，声称游戏中使用了“哪吒”“哪吒魔王子”的相关美术作品。</w:t>
      </w:r>
    </w:p>
    <w:p w14:paraId="192685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420" w:firstLineChars="200"/>
        <w:jc w:val="left"/>
        <w:textAlignment w:val="center"/>
        <w:rPr>
          <w:rFonts w:hint="eastAsia" w:ascii="楷体" w:hAnsi="楷体" w:eastAsia="楷体" w:cs="楷体"/>
          <w:sz w:val="21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2"/>
          <w:lang w:val="en-US" w:eastAsia="zh-CN"/>
        </w:rPr>
        <w:t>对于此事，许多玩家表达了不同的看法。有玩家认为，该手游很大程度上继承了经典的仙侠文化，也是对传统故事的重新演绎，不应过于苛责；而另一些玩家则认为，版权问题应当谨慎处理，作为开发者必须对自己的创作负责，要确保原创性，不能以“借鉴”为理由对其他作品的创作成果视而不见。</w:t>
      </w:r>
    </w:p>
    <w:p w14:paraId="5D2573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420" w:firstLineChars="200"/>
        <w:jc w:val="left"/>
        <w:textAlignment w:val="center"/>
        <w:rPr>
          <w:rFonts w:hint="eastAsia" w:ascii="楷体" w:hAnsi="楷体" w:eastAsia="楷体" w:cs="楷体"/>
          <w:sz w:val="21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2"/>
          <w:lang w:val="en-US" w:eastAsia="zh-CN"/>
        </w:rPr>
        <w:t>一位游戏开发公司的负责人表示，希望行业能够建立更加明确的版权界定标准和沟通机制，让开发者在创作时有章可循，同时也能保障版权方的合法权益 。</w:t>
      </w:r>
    </w:p>
    <w:p w14:paraId="58A44F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420" w:firstLineChars="200"/>
        <w:jc w:val="left"/>
        <w:textAlignment w:val="center"/>
        <w:rPr>
          <w:rFonts w:hint="eastAsia" w:ascii="楷体" w:hAnsi="楷体" w:eastAsia="楷体" w:cs="楷体"/>
          <w:sz w:val="21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2"/>
          <w:lang w:val="en-US" w:eastAsia="zh-CN"/>
        </w:rPr>
        <w:t>如何在保证创作自由的前提下，合理合法地使用美术元素，或许将成为每一个游戏开发者在创作之初必须思考的问题。只有当游戏创作在保护原创与借鉴之间找到平衡，才能让整个行业更加健康地发展。</w:t>
      </w:r>
    </w:p>
    <w:p w14:paraId="29F3F7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00" w:lineRule="exact"/>
        <w:ind w:left="210" w:leftChars="100" w:firstLine="0" w:firstLineChars="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2"/>
          <w:lang w:val="en-US" w:eastAsia="zh-CN"/>
        </w:rPr>
        <w:t>⑴结合材料，运用《法律与生活》尊重知识产权的知识，说明游戏创作应该如何在保护原创与借鉴之间找到平衡。（8分）</w:t>
      </w:r>
    </w:p>
    <w:p w14:paraId="35174F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00" w:lineRule="exact"/>
        <w:ind w:left="210" w:leftChars="100" w:firstLine="0" w:firstLineChars="0"/>
        <w:jc w:val="left"/>
        <w:textAlignment w:val="center"/>
        <w:rPr>
          <w:rFonts w:hint="eastAsia" w:ascii="Times New Roman" w:hAnsi="Times New Roman" w:eastAsia="宋体" w:cs="Times New Roman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2"/>
          <w:lang w:val="en-US" w:eastAsia="zh-CN"/>
        </w:rPr>
        <w:t>⑵有人认为，“开发传统文化形象运用到文化创作中是应该得到鼓励的，哪吒是传统文化形象，使用哪吒美术作品运用到游戏中是应该得到鼓励的。”运用《逻辑与思维》的知识，说明这个推理</w:t>
      </w:r>
      <w:r>
        <w:rPr>
          <w:rFonts w:hint="eastAsia" w:eastAsia="宋体" w:cs="Times New Roman"/>
          <w:sz w:val="21"/>
          <w:szCs w:val="22"/>
          <w:lang w:val="en-US" w:eastAsia="zh-CN"/>
        </w:rPr>
        <w:t>是否正确</w:t>
      </w:r>
      <w:r>
        <w:rPr>
          <w:rFonts w:hint="eastAsia" w:ascii="Times New Roman" w:hAnsi="Times New Roman" w:eastAsia="宋体" w:cs="Times New Roman"/>
          <w:sz w:val="21"/>
          <w:szCs w:val="22"/>
          <w:lang w:val="en-US" w:eastAsia="zh-CN"/>
        </w:rPr>
        <w:t>。（4分）</w:t>
      </w:r>
    </w:p>
    <w:p w14:paraId="2D382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Cs w:val="24"/>
          <w:lang w:val="en-US" w:eastAsia="zh-CN"/>
        </w:rPr>
      </w:pPr>
    </w:p>
    <w:p w14:paraId="28929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Cs w:val="24"/>
          <w:lang w:val="en-US" w:eastAsia="zh-CN"/>
        </w:rPr>
      </w:pPr>
    </w:p>
    <w:p w14:paraId="3BAA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Cs w:val="24"/>
          <w:lang w:val="en-US" w:eastAsia="zh-CN"/>
        </w:rPr>
      </w:pPr>
    </w:p>
    <w:p w14:paraId="00D69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Cs w:val="24"/>
          <w:lang w:val="en-US" w:eastAsia="zh-CN"/>
        </w:rPr>
      </w:pPr>
    </w:p>
    <w:p w14:paraId="68D3CC2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20</w:t>
      </w:r>
      <w:r>
        <w:rPr>
          <w:sz w:val="21"/>
        </w:rPr>
        <w:t>．阅读材料，完成下列要求。</w:t>
      </w:r>
    </w:p>
    <w:p w14:paraId="3EB9FA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420" w:firstLineChars="200"/>
        <w:jc w:val="left"/>
        <w:textAlignment w:val="center"/>
        <w:rPr>
          <w:rFonts w:hint="eastAsia" w:ascii="楷体" w:hAnsi="楷体" w:eastAsia="楷体" w:cs="楷体"/>
          <w:sz w:val="21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2"/>
          <w:lang w:val="en-US" w:eastAsia="zh-CN"/>
        </w:rPr>
        <w:t>智慧旅游沉浸式体验是指利用现代信息技术（虚拟现实（VR）、增强现实（AR）、人工智能（AI）、大数据、5G等），为游客提供高度互动、个性化和身临其境的旅游体验。沉浸式旅游为游客带来了新体验，助力旅游业高质量发展。</w:t>
      </w:r>
    </w:p>
    <w:p w14:paraId="588732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420" w:firstLineChars="200"/>
        <w:jc w:val="left"/>
        <w:textAlignment w:val="center"/>
        <w:rPr>
          <w:rFonts w:hint="eastAsia" w:ascii="楷体" w:hAnsi="楷体" w:eastAsia="楷体" w:cs="楷体"/>
          <w:sz w:val="21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2"/>
          <w:lang w:val="en-US" w:eastAsia="zh-CN"/>
        </w:rPr>
        <w:t>2024年暑期，某地主题街区策划了多个智慧旅游沉浸式活动，带领游客开启前所未有的沉浸式唐风之旅。如通过AR技术扫描古迹或通过VR设备“走进”虚拟景区，带领观众穿越古今，沉浸式感受传统文化的魅力。大数据能够根据游客的兴趣、偏好和行为习惯，推荐个性化的旅游路线、景点介绍和服务内容。通过智慧旅游平台，游客可以实时获取景区的天气、人流、交通等信息，优化游览体验。沉浸式旅游成为“爆款”产品，有力带动当地文旅消费持续释放。</w:t>
      </w:r>
    </w:p>
    <w:p w14:paraId="0E894D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00" w:lineRule="exact"/>
        <w:ind w:left="210" w:leftChars="100" w:firstLine="0" w:firstLineChars="0"/>
        <w:jc w:val="left"/>
        <w:textAlignment w:val="center"/>
        <w:rPr>
          <w:rFonts w:hint="eastAsia" w:ascii="Times New Roman" w:hAnsi="Times New Roman" w:eastAsia="宋体" w:cs="Times New Roman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2"/>
          <w:lang w:val="en-US" w:eastAsia="zh-CN"/>
        </w:rPr>
        <w:t>结合材料，运用《经济与社会》相关知识，分析沉浸式旅游是如何助力文旅产业高质量发展的。</w:t>
      </w:r>
      <w:r>
        <w:rPr>
          <w:rFonts w:hint="eastAsia" w:cs="Times New Roman"/>
          <w:sz w:val="21"/>
          <w:szCs w:val="22"/>
          <w:lang w:val="en-US" w:eastAsia="zh-CN"/>
        </w:rPr>
        <w:t>（12分）</w:t>
      </w:r>
    </w:p>
    <w:p w14:paraId="1C5F5781">
      <w:pPr>
        <w:shd w:val="clear" w:color="auto" w:fill="FFFFFF"/>
        <w:spacing w:line="360" w:lineRule="auto"/>
        <w:jc w:val="left"/>
        <w:textAlignment w:val="center"/>
      </w:pPr>
    </w:p>
    <w:p w14:paraId="0955BDFA">
      <w:pPr>
        <w:shd w:val="clear" w:color="auto" w:fill="FFFFFF"/>
        <w:spacing w:line="360" w:lineRule="auto"/>
        <w:jc w:val="left"/>
        <w:textAlignment w:val="center"/>
      </w:pPr>
    </w:p>
    <w:p w14:paraId="28412CF6">
      <w:pPr>
        <w:shd w:val="clear" w:color="auto" w:fill="FFFFFF"/>
        <w:spacing w:line="360" w:lineRule="auto"/>
        <w:jc w:val="left"/>
        <w:textAlignment w:val="center"/>
      </w:pPr>
    </w:p>
    <w:p w14:paraId="1E089EBE">
      <w:pPr>
        <w:shd w:val="clear" w:color="auto" w:fill="FFFFFF"/>
        <w:spacing w:line="360" w:lineRule="auto"/>
        <w:jc w:val="left"/>
        <w:textAlignment w:val="center"/>
      </w:pPr>
    </w:p>
    <w:p w14:paraId="018F9B18">
      <w:pPr>
        <w:shd w:val="clear" w:color="auto" w:fill="FFFFFF"/>
        <w:spacing w:line="360" w:lineRule="auto"/>
        <w:jc w:val="left"/>
        <w:textAlignment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21.阅读材料，完成下列要求。</w:t>
      </w:r>
    </w:p>
    <w:p w14:paraId="2EBD5B2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4月19日，全球首场人形机器人半程马拉松——2025北京亦庄半程马拉松正式开跑。首创“人机共跑”模式，吸引了近20支国内顶尖机器人团队与3万余名人类选手同场竞技。</w:t>
      </w:r>
    </w:p>
    <w:p w14:paraId="39DBD74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这场赛事实现了三重价值突破：</w:t>
      </w:r>
    </w:p>
    <w:p w14:paraId="6473023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一是技术验证的“试金石”：人形机器人完成半程马拉松，对运动控制、环境感知、续航能力提出极高要求。</w:t>
      </w:r>
    </w:p>
    <w:p w14:paraId="10F158E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二是提供了产业发展的机遇：比赛为机器人企业提供了一个展示平台，有助于促进企业之间的交流与合作，加速人形机器人在工厂、家庭服务、医疗护理、灾难救援等领域的应用，推动机器人产业的快速发展。</w:t>
      </w:r>
    </w:p>
    <w:p w14:paraId="692F2D2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三是增进公众了解：人形机器人赛事为公众提供了一个直观的窗口，让大家看到了机器人技术的最新进展与局限，使公众对机器人有了更深入的了解，也激发了人们对机器人技术的兴趣和好奇心，有利于培养相关领域的人才，为机器人产业的发展提供人才储备。</w:t>
      </w:r>
    </w:p>
    <w:p w14:paraId="717F816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但热潮之下仍需警惕潜在问题：</w:t>
      </w:r>
    </w:p>
    <w:p w14:paraId="479E49C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一是技术成熟度不足。部分参赛机器人出现赛道偏离、突发停机等问题，暴露出环境适应性短板，距商业化应用仍有距离。</w:t>
      </w:r>
    </w:p>
    <w:p w14:paraId="408B3A1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二是伦理争议萌芽。当机器人具备独立解决复杂问题和自我修复的能力时，可能会引发了一系列关于人类与机器关系的伦理思考，如机器人是否会取代人类的工作、在未来社会中人类和机器人的角色如何定义等。</w:t>
      </w:r>
    </w:p>
    <w:p w14:paraId="18172FA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三是安全隐患隐现。高速运动场景下，机器人若发生失控可能对参赛者造成伤害，现有保险体系尚未覆盖此类风险。</w:t>
      </w:r>
    </w:p>
    <w:p w14:paraId="066D9944">
      <w:pPr>
        <w:shd w:val="clear" w:color="auto" w:fill="FFFFFF"/>
        <w:spacing w:line="360" w:lineRule="auto"/>
        <w:jc w:val="left"/>
        <w:textAlignment w:val="center"/>
        <w:rPr>
          <w:rFonts w:hint="eastAsia" w:eastAsia="宋体"/>
          <w:lang w:eastAsia="zh-CN"/>
        </w:rPr>
      </w:pPr>
      <w:r>
        <w:rPr>
          <w:rFonts w:hint="eastAsia"/>
        </w:rPr>
        <w:t>请结合上述材料，以“审慎对待人形机器人技术”为主题写一篇短文。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</w:t>
      </w:r>
    </w:p>
    <w:p w14:paraId="7BCA78C6">
      <w:pPr>
        <w:shd w:val="clear" w:color="auto" w:fill="FFFFFF"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要求：①运用唯物辩证法相关知识②紧扣主题，逻辑清晰，结构合理。③学科术语使用规范，字数260字左右；不得出现个人信息</w:t>
      </w:r>
    </w:p>
    <w:p w14:paraId="7E83195F">
      <w:pPr>
        <w:shd w:val="clear" w:color="auto" w:fill="FFFFFF"/>
        <w:spacing w:line="360" w:lineRule="auto"/>
        <w:jc w:val="left"/>
        <w:textAlignment w:val="center"/>
        <w:rPr>
          <w:rFonts w:hint="eastAsia"/>
        </w:rPr>
      </w:pPr>
    </w:p>
    <w:p w14:paraId="0B919458">
      <w:pPr>
        <w:shd w:val="clear" w:color="auto" w:fill="FFFFFF"/>
        <w:spacing w:line="360" w:lineRule="auto"/>
        <w:jc w:val="left"/>
        <w:textAlignment w:val="center"/>
        <w:rPr>
          <w:rFonts w:hint="eastAsia"/>
        </w:rPr>
      </w:pPr>
    </w:p>
    <w:p w14:paraId="2FE3BB9A">
      <w:pPr>
        <w:shd w:val="clear" w:color="auto" w:fill="FFFFFF"/>
        <w:spacing w:line="360" w:lineRule="auto"/>
        <w:jc w:val="left"/>
        <w:textAlignment w:val="center"/>
        <w:rPr>
          <w:rFonts w:hint="eastAsia"/>
        </w:rPr>
      </w:pPr>
    </w:p>
    <w:p w14:paraId="3A2A6CFF">
      <w:pPr>
        <w:shd w:val="clear" w:color="auto" w:fill="FFFFFF"/>
        <w:spacing w:line="360" w:lineRule="auto"/>
        <w:jc w:val="left"/>
        <w:textAlignment w:val="center"/>
      </w:pPr>
    </w:p>
    <w:p w14:paraId="74ACC46C">
      <w:pPr>
        <w:shd w:val="clear" w:color="auto" w:fill="FFFFFF"/>
        <w:spacing w:line="360" w:lineRule="auto"/>
        <w:jc w:val="left"/>
        <w:textAlignment w:val="center"/>
      </w:pPr>
    </w:p>
    <w:p w14:paraId="497CB8C1">
      <w:pPr>
        <w:shd w:val="clear" w:color="auto" w:fill="FFFFFF"/>
        <w:spacing w:line="360" w:lineRule="auto"/>
        <w:jc w:val="left"/>
        <w:textAlignment w:val="center"/>
      </w:pPr>
    </w:p>
    <w:p w14:paraId="0CDD8CC5">
      <w:pPr>
        <w:shd w:val="clear" w:color="auto" w:fill="FFFFFF"/>
        <w:spacing w:line="360" w:lineRule="auto"/>
        <w:jc w:val="left"/>
        <w:textAlignment w:val="center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69EE8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398CC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43C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37F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A13A0"/>
    <w:multiLevelType w:val="singleLevel"/>
    <w:tmpl w:val="A73A13A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961532D"/>
    <w:multiLevelType w:val="singleLevel"/>
    <w:tmpl w:val="1961532D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4YTY5ODgxZTg0NjViNWNmNjZiZDM1NWE4NDFlZjQifQ=="/>
  </w:docVars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806B0"/>
    <w:rsid w:val="00E476EE"/>
    <w:rsid w:val="00EF035E"/>
    <w:rsid w:val="00FA429B"/>
    <w:rsid w:val="05331634"/>
    <w:rsid w:val="636710C8"/>
    <w:rsid w:val="66F608A4"/>
    <w:rsid w:val="69A36795"/>
    <w:rsid w:val="7DE9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6003</Words>
  <Characters>6162</Characters>
  <Lines>0</Lines>
  <Paragraphs>0</Paragraphs>
  <TotalTime>2</TotalTime>
  <ScaleCrop>false</ScaleCrop>
  <LinksUpToDate>false</LinksUpToDate>
  <CharactersWithSpaces>6363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zephyr</cp:lastModifiedBy>
  <dcterms:modified xsi:type="dcterms:W3CDTF">2025-09-24T03:34:53Z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KSOProductBuildVer">
    <vt:lpwstr>2052-12.1.0.22529</vt:lpwstr>
  </property>
  <property fmtid="{D5CDD505-2E9C-101B-9397-08002B2CF9AE}" pid="4" name="ICV">
    <vt:lpwstr>67860A3E1B48433189CBB61F05EBDA04_13</vt:lpwstr>
  </property>
  <property fmtid="{D5CDD505-2E9C-101B-9397-08002B2CF9AE}" pid="5" name="KSOTemplateDocerSaveRecord">
    <vt:lpwstr>eyJoZGlkIjoiNTQ0MWU1NTk1ZjM3NGZmNTBlMTdlMzIxYmQwNWRlOWMiLCJ1c2VySWQiOiIyODYyNjk0MjAifQ==</vt:lpwstr>
  </property>
</Properties>
</file>