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w:t>
      </w:r>
      <w:r>
        <w:rPr>
          <w:rFonts w:ascii="楷体" w:hAnsi="楷体" w:cs="楷体" w:eastAsia="楷体"/>
          <w:color w:val="auto"/>
          <w:spacing w:val="0"/>
          <w:position w:val="0"/>
          <w:sz w:val="21"/>
          <w:shd w:fill="auto" w:val="clear"/>
        </w:rPr>
        <w:t xml:space="preserve">我们的生活需要美，生活需要创造美，美把我们的生活变得更好。</w:t>
      </w:r>
    </w:p>
    <w:p>
      <w:pPr>
        <w:spacing w:before="0" w:after="0" w:line="400"/>
        <w:ind w:right="0" w:left="0" w:firstLine="560"/>
        <w:jc w:val="left"/>
        <w:rPr>
          <w:rFonts w:ascii="Times New Roman" w:hAnsi="Times New Roman" w:cs="Times New Roman" w:eastAsia="Times New Roman"/>
          <w:color w:val="auto"/>
          <w:spacing w:val="0"/>
          <w:position w:val="0"/>
          <w:sz w:val="21"/>
          <w:shd w:fill="auto" w:val="clear"/>
        </w:rPr>
      </w:pPr>
      <w:r>
        <w:rPr>
          <w:rFonts w:ascii="楷体" w:hAnsi="楷体" w:cs="楷体" w:eastAsia="楷体"/>
          <w:color w:val="auto"/>
          <w:spacing w:val="0"/>
          <w:position w:val="0"/>
          <w:sz w:val="21"/>
          <w:shd w:fill="auto" w:val="clear"/>
        </w:rPr>
        <w:t xml:space="preserve">法律让社会变得更美好。张某（住二楼）下班时被杨某（住一楼）家拴在楼梯扶手上的宠物犬咬伤。张某找到杨某说明情况要求赔偿，杨某反而指责张某不小心，二人争论不休，并发生肢体冲突，张某辱骂杨某是“垃圾”。邻居王某（一楼）将二人争吵全程录拍下来并配文“芝麻绿豆大的事，两个成年人吵翻天”发布到社区微信大群，同时还曝光了两人姓名、联系电话、门牌号码等相关信息。张某、杨某、王某三人在诉讼调解中化解了矛盾。</w:t>
      </w:r>
    </w:p>
    <w:p>
      <w:pPr>
        <w:spacing w:before="0" w:after="0" w:line="400"/>
        <w:ind w:right="0" w:left="0" w:firstLine="560"/>
        <w:jc w:val="left"/>
        <w:rPr>
          <w:rFonts w:ascii="Times New Roman" w:hAnsi="Times New Roman" w:cs="Times New Roman" w:eastAsia="Times New Roman"/>
          <w:color w:val="auto"/>
          <w:spacing w:val="0"/>
          <w:position w:val="0"/>
          <w:sz w:val="21"/>
          <w:shd w:fill="auto" w:val="clear"/>
        </w:rPr>
      </w:pPr>
      <w:r>
        <w:rPr>
          <w:rFonts w:ascii="楷体" w:hAnsi="楷体" w:cs="楷体" w:eastAsia="楷体"/>
          <w:color w:val="auto"/>
          <w:spacing w:val="0"/>
          <w:position w:val="0"/>
          <w:sz w:val="21"/>
          <w:shd w:fill="auto" w:val="clear"/>
        </w:rPr>
        <w:t xml:space="preserve">创新让社会变得更美好。某城煤矿闭坑后留下巨大的矿坑，成为“城市伤疤”。近年来，政府转变治理思路，通过专家咨询论证会、社会听证会、社区走访调查等方式，广泛听取相关专家、基层群众、投资公司等方面意见，集思广益，专题商讨治理问题，确定了治理方案。如今，该城开展生态复垦，让矿坑变身公园，并将城市经济发展和生态环境治理相结合，因地制宜，在周边建成生态健身广场，一幅“美丽画卷”展现眼前。作为资源枯竭型城市，该城以宜居宜业的城市风貌，见证了转型发展的蝶变。</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运用《法律与生活》知识，如果你是人民法院的法官如何评析张某、杨某、王某三人各自行为。</w:t>
      </w:r>
    </w:p>
    <w:p>
      <w:pPr>
        <w:spacing w:before="0" w:after="0" w:line="40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结合材料，运用《逻辑与思维》中创新思维的知识，说明该城在“美丽画卷”塑造中运用的思维方法。</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p>
    <w:tbl>
      <w:tblPr/>
      <w:tblGrid>
        <w:gridCol w:w="774"/>
        <w:gridCol w:w="774"/>
        <w:gridCol w:w="775"/>
        <w:gridCol w:w="775"/>
        <w:gridCol w:w="775"/>
        <w:gridCol w:w="775"/>
        <w:gridCol w:w="775"/>
        <w:gridCol w:w="775"/>
        <w:gridCol w:w="775"/>
        <w:gridCol w:w="775"/>
        <w:gridCol w:w="775"/>
      </w:tblGrid>
      <w:tr>
        <w:trPr>
          <w:trHeight w:val="1" w:hRule="atLeast"/>
          <w:jc w:val="left"/>
        </w:trPr>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题号</w:t>
            </w:r>
          </w:p>
        </w:tc>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2</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3</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4</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6</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7</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8</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9</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10</w:t>
            </w:r>
          </w:p>
        </w:tc>
      </w:tr>
      <w:tr>
        <w:trPr>
          <w:trHeight w:val="1" w:hRule="atLeast"/>
          <w:jc w:val="left"/>
        </w:trPr>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答案</w:t>
            </w:r>
          </w:p>
        </w:tc>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B</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D</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B</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A</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C</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A</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C</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D</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A</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A</w:t>
            </w:r>
          </w:p>
        </w:tc>
      </w:tr>
      <w:tr>
        <w:trPr>
          <w:trHeight w:val="1" w:hRule="atLeast"/>
          <w:jc w:val="left"/>
        </w:trPr>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题号</w:t>
            </w:r>
          </w:p>
        </w:tc>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11</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12</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r>
      <w:tr>
        <w:trPr>
          <w:trHeight w:val="1" w:hRule="atLeast"/>
          <w:jc w:val="left"/>
        </w:trPr>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答案</w:t>
            </w:r>
          </w:p>
        </w:tc>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C</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B</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c>
          <w:tcPr>
            <w:tcW w:w="7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 </w:t>
            </w:r>
          </w:p>
        </w:tc>
      </w:tr>
    </w:tbl>
    <w:p>
      <w:pPr>
        <w:spacing w:before="0" w:after="0" w:line="240"/>
        <w:ind w:right="0" w:left="0" w:firstLine="0"/>
        <w:jc w:val="center"/>
        <w:rPr>
          <w:rFonts w:ascii="宋体" w:hAnsi="宋体" w:cs="宋体" w:eastAsia="宋体"/>
          <w:b/>
          <w:color w:val="000000"/>
          <w:spacing w:val="0"/>
          <w:position w:val="0"/>
          <w:sz w:val="21"/>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B</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：在商业使用他人音乐作品时，即便融入非遗等传统文化元素，仍需取得原著作权人授权。企业利用短视频进行营销推广时，应加强版权审查，避免“踩雷”，而不是申请新版权，</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：该房产公司以摄制方式将改编作品固定为短视频，并通过网络传播用于商业引流，侵犯了原作品的摄制权和信息网络传播权，</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入选。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：常州某房产公司未经授权，将《声声慢》重新填词，并由淮剧演员以传统戏曲唱腔演绎，虽然视频歌词、曲调均经大幅修改，但仍然构成对原作品的改改编，不属于独立创作，构成侵权，</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：房产公司对民谣的改编并通过网络传播用于商业引流，这是侵犯著作权的表现，而非不正当竞争，</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D</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：李某作为守约的一方，是可以主张林某继续履行买卖合同的，</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应选。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：该案例中的林某与李某的口头约定属于口头合同具有法律约束力，</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：张某已全额付款且合同有效，但未办理产权过户手续，并未取得该房产的所有权，</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：林某“一房二卖”违背了诚信原则，应承担违约责任，</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不选。</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B</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：分析是综合的基础，综合是分析的先导，</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：题干强调“这些因素共同作用”，使中国在全球展现出无与伦比的基建能力，即从整体性角度分析各要素的协同效应，</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：题干并未体现“从个别到一般”的归纳推理过程，</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：“连续性与间断性”强调事物发展过程中的动态变化（如量变与质变），但题干未涉及这一辩证关系，</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A</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：由材料孟加拉国举行国民议会选举，哈西娜领导的人民联盟获得</w:t>
      </w:r>
      <w:r>
        <w:rPr>
          <w:rFonts w:ascii="Times New Roman" w:hAnsi="Times New Roman" w:cs="Times New Roman" w:eastAsia="Times New Roman"/>
          <w:color w:val="auto"/>
          <w:spacing w:val="0"/>
          <w:position w:val="0"/>
          <w:sz w:val="21"/>
          <w:shd w:fill="auto" w:val="clear"/>
        </w:rPr>
        <w:t xml:space="preserve">223</w:t>
      </w:r>
      <w:r>
        <w:rPr>
          <w:rFonts w:ascii="宋体" w:hAnsi="宋体" w:cs="宋体" w:eastAsia="宋体"/>
          <w:color w:val="auto"/>
          <w:spacing w:val="0"/>
          <w:position w:val="0"/>
          <w:sz w:val="21"/>
          <w:shd w:fill="auto" w:val="clear"/>
        </w:rPr>
        <w:t xml:space="preserve">个席位，成为多数党，英国众议院大选结果揭晓，工党以绝对优势获得压倒性胜利，可以推知，孟加拉国与英国为议会制，政府在议会基础上产生，政府首脑均对议会负责，</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符合题意。</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：孟加拉国为议会制，总统是国家元首，不是政府首脑，总理是政府首脑，</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：英国是议会制国家，议会若不信任政府，首相可提请国家元首解散议会</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说法正确。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：材料提到的是两国的国家管理形式，而非国家结构形式，</w:t>
      </w: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C</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共同但有差别的责任强调在全球环境问题上，各国都有责任，但基于不同发展水平承担有差异的责任。欧盟推迟目标达成时间的直接目的是避免欧洲车企因无法按时达标而支付高额罚金，并不表明欧盟愿意承担共同但有差别的减排责任，</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排除。</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：欧洲联盟的最高决策机构是欧洲理事会，并非欧盟委员会，</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错误。</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：推迟目标达成时间是为了避免欧洲车企可能面临的高额罚金，给欧洲汽车产业缓冲，是为了自身经济发展而规避节能减排的责任，</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：推迟目标达成时间只是给车企一定喘息空间，不能直接增强欧洲车企参与全球化竞争的自身实力，</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错误。</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A</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：已知科技伦理是推动科技事业健康发展的重要保障，根据换位推理规则，“所有</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是</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”可推出“有的</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是</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”，所以有的推动科技事业健康发展的重要保障是科技伦理，</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正确。</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：已知科技伦理是需要科技工作者在科技活动中遵循的，根据换质推理规则，得出科技伦理不是不需要科技工作者在科技活动中遵循的，</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正确。</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：题干强调科技伦理需要科技工作者在科技活动中遵循，这是全称肯定判断，根据材料描述为真；有的科技伦理不需要科技工作者在科技活动中遵循，这属于特称否定判断，与全称肯定判断相矛盾，那一定为假，</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错误。</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：根据材料描述看出，科技伦理是科技工作者在科技活动中需要遵循的行为规范，换位推理应该是：有些科技工作者在科技活动中需要遵循的行为规范是科技伦理（前提中不周延的项换位后不周延），</w:t>
      </w: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C</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：题干中是先假设产生的气体为氧气，再收集证据，并没有体现以“产生的气体能复燃会怎样”的“假如”式问题引导学生展开想象来达成实验目的，</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：带火星的木条复燃是氧气的一个重要特征，但能使带火星木条复燃的气体不一定只有氧气，不能仅仅因为带火星木条复燃就绝对地推出该气体是氧气，</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：同学们从观察到产生大量气泡这一感性的具体现象，经过分析得出气体可能是氧气，这是从对事物的感性认识上升到对事物本质的初步抽象认识，即从感性具体上升到思维抽象，</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求同法是指如果被研究现象出现的若干场合中，只有一个情况是相同的，那么这个相同的情况就是被研究现象的原因。这里不能简单地根据与氧气相同的几个特征就运用求同法确定产生的气体是氧气，因为其他气体也可能有部分相同特征，该探究并不严谨可靠，</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D</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法院可主持诉讼外调解”表述不准确。根据《民事诉讼法》，法院在审理民事案件时可以进行调解，但这种调解属于诉讼内调解（即在诉讼程序中进行），而非“诉讼外调解”。诉讼外调解通常指由人民调解委员会等非司法机构进行的调解。</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：房屋质量检测机构的检测报告属于鉴定意见，而非物证。物证需通过物品的物理属性或存在状态证明事实，而检测报告是专家对专门问题的分析结论，属于法定证据种类中的“鉴定意见”。</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：本案为普通相邻权纠纷，适用“谁主张，谁举证”原则。李某需证明漏水与黄某行为之间的因果关系，而非适用举证责任倒置。举证责任倒置仅适用于特殊侵权情形（如环境污染、医疗损害等）。</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：若漏水系房屋建筑质量问题，黄某作为业主赔偿李某后，可依据《民法典》向开发商追偿，符合法律规定的追偿权。</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A</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制造业领域外资准入限制措施实现“清零”，有利于最大限度开放市场，优化市场环境，有利于增强外商投资信心，吸引更多外资进入制造业领域。通过引进先进技术和管理经验，可推动制造业向高质量发展迈进，</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：负面清单取消限制是最大限度开放市场，而非“优化引资结构”。此外，我国对外开放格局早已形成，此举属于深化而非“形成”，</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：最新版负面清单删除了制造业领域仅剩的</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条限制措施，制造业领域外资准入限制措施实现“清零”。此举的积极效应有扩大市场准入，有利于扩大开放竞争，进而增强制造业活力，从而推动“制造大国”向“制造强国”迈进，</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：负面清单调整意在扩大市场准入，而非“贸易投资便利化”（后者通常涉及通关流程、关税等），</w:t>
      </w: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A</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：“如果不使其他某个（或某些）人情况变坏，他的情况就不可能变好”属于充分条件假言判断，根据否定后件式，可以推理出“只要有人情况变好，就有人情况变坏”，</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如果有人情况变坏，就有人情况变好”是通过对“如果不使其他某个（或某些）人情况变坏，他的情况就不可能变好”的否定前件式得出的，而否定前件式是充分条件假言推理的无效式，因此这一推论不成立，</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：若没有帕累托变革的余地（即任何改变都会导致至少一人受损），说明已达到帕累托最优状态，</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正确。</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：帕累托变革是逐步优化过程，单次帕累托变革未必能直接达到最优状态，因此不是充分条件，</w:t>
      </w: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A</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C</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w:t>
      </w:r>
      <w:r>
        <w:rPr>
          <w:rFonts w:ascii="Segoe UI Symbol" w:hAnsi="Segoe UI Symbol" w:cs="Segoe UI Symbol" w:eastAsia="Segoe UI Symbol"/>
          <w:color w:val="auto"/>
          <w:spacing w:val="0"/>
          <w:position w:val="0"/>
          <w:sz w:val="21"/>
          <w:shd w:fill="auto" w:val="clear"/>
        </w:rPr>
        <w:t xml:space="preserve">②④</w:t>
      </w:r>
      <w:r>
        <w:rPr>
          <w:rFonts w:ascii="宋体" w:hAnsi="宋体" w:cs="宋体" w:eastAsia="宋体"/>
          <w:color w:val="auto"/>
          <w:spacing w:val="0"/>
          <w:position w:val="0"/>
          <w:sz w:val="21"/>
          <w:shd w:fill="auto" w:val="clear"/>
        </w:rPr>
        <w:t xml:space="preserve">：这首诗中，作者通过“衾枕冷”“窗户明”“折竹声”等，在感觉、知觉和表象基础上，运用联想描绘“夜雪”，通过“折竹声”等判断“夜深雪重”体现了思维的间接性，</w:t>
      </w:r>
      <w:r>
        <w:rPr>
          <w:rFonts w:ascii="Segoe UI Symbol" w:hAnsi="Segoe UI Symbol" w:cs="Segoe UI Symbol" w:eastAsia="Segoe UI Symbol"/>
          <w:color w:val="auto"/>
          <w:spacing w:val="0"/>
          <w:position w:val="0"/>
          <w:sz w:val="21"/>
          <w:shd w:fill="auto" w:val="clear"/>
        </w:rPr>
        <w:t xml:space="preserve">②④</w:t>
      </w:r>
      <w:r>
        <w:rPr>
          <w:rFonts w:ascii="宋体" w:hAnsi="宋体" w:cs="宋体" w:eastAsia="宋体"/>
          <w:color w:val="auto"/>
          <w:spacing w:val="0"/>
          <w:position w:val="0"/>
          <w:sz w:val="21"/>
          <w:shd w:fill="auto" w:val="clear"/>
        </w:rPr>
        <w:t xml:space="preserve">符合题意。</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：综合思维要求整体地认识对象，“从不同方面”与综合思维不符，</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表述错误；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：这首诗用“衾枕冷”“窗户明”等体现形象思维基本单元的形象性，而不是体现抽象思维运行方式的推导性，</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表述错误。</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C</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B</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【详解】只有利用产自安徽泾县及周边地区的青檀树皮和沙田稻草，在泾县范围内，用泾县特有的山泉水以及传统工艺精制而成的纸，才能称之为宣纸。该判断属于必要条件假言判断。</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：“如果是宣纸”，这是对题中条件关系的</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“肯后”。根据必要条件假言判断的</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“肯后必肯前”</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原则，可以必然推出</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“一定使用了泾县特有的山泉水”，</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正确。</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：“用泾县的沙田稻草、山泉水以及传统工艺制成的纸”是肯定前件，根据必要条件假言判断前后件关系，肯定前件未必能必然推出后件，</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排除。</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：根据</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必要条件假言判断“否前必否后”</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的逻辑规则，否定前件就必然否定后件，所以可以推出生产出的纸一定不是宣纸，</w:t>
      </w: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正确。</w:t>
      </w: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只有利用产自安徽泾县的青檀树皮和沙田稻草制作的纸，才是宣纸”，这里只强调了青檀树皮和沙田稻草产地，忽略了在泾县范围内、用泾县特有的山泉水以及传统工艺等其他条件，不能仅仅根据这一个条件就得出是宣纸的结论，</w:t>
      </w: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排除。</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故本题选</w:t>
      </w:r>
      <w:r>
        <w:rPr>
          <w:rFonts w:ascii="Times New Roman" w:hAnsi="Times New Roman" w:cs="Times New Roman" w:eastAsia="Times New Roman"/>
          <w:color w:val="auto"/>
          <w:spacing w:val="0"/>
          <w:position w:val="0"/>
          <w:sz w:val="21"/>
          <w:shd w:fill="auto" w:val="clear"/>
        </w:rPr>
        <w:t xml:space="preserve">B</w:t>
      </w:r>
      <w:r>
        <w:rPr>
          <w:rFonts w:ascii="宋体" w:hAnsi="宋体" w:cs="宋体" w:eastAsia="宋体"/>
          <w:color w:val="auto"/>
          <w:spacing w:val="0"/>
          <w:position w:val="0"/>
          <w:sz w:val="21"/>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张某：辱骂杨某的行为侵犯了杨某的名誉权，应合理运用调解、仲裁、诉讼等多元方式解决纠纷。</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杨某：饲养的动物造成他人损害的，动物饲养人或管理人应承担无过错侵权责任。杨某家饲养的宠物犬咬伤张某，侵犯张某的健康权，杨某应承担赔礼道歉、赔偿损失等责任。</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王某：法律保护民事主体的各项人身权和财产权。民事主体行使民事权利时不能超过正当的界限，不得滥用民事权利损害国家利益、社会公共利益或者他人合法权益。王某将二人争吵的视频发布到社区微信大群并公布两人相关信息，侵犯二人肖像权、隐私权、个人信息保护权，应承担过错侵权责任，对张某、杨某赔礼道歉、消除影响。</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坚持发散思维方法。运用头脑风暴法，通过专家咨询论证会、社会听证会、走访调查等方式，集思广益，商讨治理的对策，推进治理问题的解决。</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利用聚合思维方法。聚焦“城市伤疤”治理困境，将讨论意见进行比较、分析、归纳、综合，寻找城市治理最优方案。</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恰当运用逆向思维方法，对已有的有关事物存在状态的认识作转换性思考。通过开展生态复垦使矿坑变公园，顺利推动转型发展的蝶变。</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④</w:t>
      </w:r>
      <w:r>
        <w:rPr>
          <w:rFonts w:ascii="宋体" w:hAnsi="宋体" w:cs="宋体" w:eastAsia="宋体"/>
          <w:color w:val="auto"/>
          <w:spacing w:val="0"/>
          <w:position w:val="0"/>
          <w:sz w:val="21"/>
          <w:shd w:fill="auto" w:val="clear"/>
        </w:rPr>
        <w:t xml:space="preserve">用超前思维方法调整治理思路，将城市经济发展和生态环境治理相结合，规划该城市宜居宜业的城市风貌。</w:t>
      </w:r>
    </w:p>
    <w:p>
      <w:pPr>
        <w:spacing w:before="0" w:after="0" w:line="360"/>
        <w:ind w:right="0" w:left="0" w:firstLine="0"/>
        <w:jc w:val="left"/>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