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2020</w:t>
      </w:r>
      <w:r>
        <w:rPr>
          <w:rFonts w:ascii="宋体" w:hAnsi="宋体" w:cs="宋体" w:eastAsia="宋体"/>
          <w:color w:val="auto"/>
          <w:spacing w:val="0"/>
          <w:position w:val="0"/>
          <w:sz w:val="21"/>
          <w:shd w:fill="auto" w:val="clear"/>
        </w:rPr>
        <w:t xml:space="preserve">年，杭州某音乐科技有限公司获得民谣歌曲《声声慢》的改编权、信息网络传播权等权利。</w:t>
      </w:r>
      <w:r>
        <w:rPr>
          <w:rFonts w:ascii="Times New Roman" w:hAnsi="Times New Roman" w:cs="Times New Roman" w:eastAsia="Times New Roman"/>
          <w:color w:val="auto"/>
          <w:spacing w:val="0"/>
          <w:position w:val="0"/>
          <w:sz w:val="21"/>
          <w:shd w:fill="auto" w:val="clear"/>
        </w:rPr>
        <w:t xml:space="preserve">2022</w:t>
      </w:r>
      <w:r>
        <w:rPr>
          <w:rFonts w:ascii="宋体" w:hAnsi="宋体" w:cs="宋体" w:eastAsia="宋体"/>
          <w:color w:val="auto"/>
          <w:spacing w:val="0"/>
          <w:position w:val="0"/>
          <w:sz w:val="21"/>
          <w:shd w:fill="auto" w:val="clear"/>
        </w:rPr>
        <w:t xml:space="preserve">年，常州某房产公司未经授权，将《声声慢》重新填词，并由淮剧演员以传统戏曲唱腔演绎，制作成宣传视频《发现盐城的家国宝藏（声声慢改编）》，发布于其官方抖音账号，并附带楼盘预约链接，用于商业推广。杭州某音乐科技有限公司认为，该行为侵犯其音乐作品的改编权、摄制权和信息网络传播权，遂诉至法院，要求赔偿</w:t>
      </w:r>
      <w:r>
        <w:rPr>
          <w:rFonts w:ascii="Times New Roman" w:hAnsi="Times New Roman" w:cs="Times New Roman" w:eastAsia="Times New Roman"/>
          <w:color w:val="auto"/>
          <w:spacing w:val="0"/>
          <w:position w:val="0"/>
          <w:sz w:val="21"/>
          <w:shd w:fill="auto" w:val="clear"/>
        </w:rPr>
        <w:t xml:space="preserve">9.57</w:t>
      </w:r>
      <w:r>
        <w:rPr>
          <w:rFonts w:ascii="宋体" w:hAnsi="宋体" w:cs="宋体" w:eastAsia="宋体"/>
          <w:color w:val="auto"/>
          <w:spacing w:val="0"/>
          <w:position w:val="0"/>
          <w:sz w:val="21"/>
          <w:shd w:fill="auto" w:val="clear"/>
        </w:rPr>
        <w:t xml:space="preserve">万元。房产公司辩称，视频歌词、曲调均经大幅修改，且融入淮剧元素，属于独立创作，不构成侵权。</w:t>
      </w:r>
      <w:r>
        <w:rPr>
          <w:rFonts w:ascii="Times New Roman" w:hAnsi="Times New Roman" w:cs="Times New Roman" w:eastAsia="Times New Roman"/>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年常州市武进区人民法院进行了审理，以下判决正确的是（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．“二次创作”如果融入非遗等传统文化元素，应申请新版权，可避免“踩雷”</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．房产公司以摄制方式将作品改编侵犯了原作品的摄制权和信息网络传播权。</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．视频歌词、曲调均经大幅修改，且融入淮剧元素，属于独立创作，不构成侵权。</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．房产公司对民谣的改编并通过网络传播用于商业引流，属于不正当竞争</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．林某将其名下的房产以</w:t>
      </w:r>
      <w:r>
        <w:rPr>
          <w:rFonts w:ascii="Times New Roman" w:hAnsi="Times New Roman" w:cs="Times New Roman" w:eastAsia="Times New Roman"/>
          <w:color w:val="auto"/>
          <w:spacing w:val="0"/>
          <w:position w:val="0"/>
          <w:sz w:val="21"/>
          <w:shd w:fill="auto" w:val="clear"/>
        </w:rPr>
        <w:t xml:space="preserve">80</w:t>
      </w:r>
      <w:r>
        <w:rPr>
          <w:rFonts w:ascii="宋体" w:hAnsi="宋体" w:cs="宋体" w:eastAsia="宋体"/>
          <w:color w:val="auto"/>
          <w:spacing w:val="0"/>
          <w:position w:val="0"/>
          <w:sz w:val="21"/>
          <w:shd w:fill="auto" w:val="clear"/>
        </w:rPr>
        <w:t xml:space="preserve">万价格卖给李某，李某支付了</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万元定金后承诺半年内付清余款，届时再办理产权过户手续，林某口头表示同意。三个月后，林某却以</w:t>
      </w:r>
      <w:r>
        <w:rPr>
          <w:rFonts w:ascii="Times New Roman" w:hAnsi="Times New Roman" w:cs="Times New Roman" w:eastAsia="Times New Roman"/>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万价格将该房产卖给了不知情的张某，张某当即全额付款并签订了购房合同。李某得知消息后与林某协商未果，于是诉至法院。关于本案，下列判断正确的是（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．林某与李某的口头约定无效，应退还</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万定金给李某</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．张某已全额付款且合同有效，取得了该房产的所有权</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．林某“一房二卖”违背了诚信原则，应承担侵权责任</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．李某作为守约一方，可以主张林某继续履行买卖合同</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中国拥有庞大的工程技术人才储备和完善的基建体系，政府在基建方面具有强大的统筹和协调能力，工业制造能力是基建快速推进的重要支撑，高度灵活的融资机制能为大型基建项目提供充足的资金支持。这些因素共同作用，使中国在全球展现出无与伦比的基建能力，创造了中国基建“奇迹”。可见，对中国基建“奇迹”的认识（</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．综合的基础上揭示事物的整体，探求事物间的因果联系</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．体现了辩证思维的整体性，科学把握了各要素的协同性</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．通过归纳推理，从个别优势推导出中国基建的整体优势</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．在连续性与间断性的对立统一中认识中国基建强大的能力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年全球将有</w:t>
      </w:r>
      <w:r>
        <w:rPr>
          <w:rFonts w:ascii="Times New Roman" w:hAnsi="Times New Roman" w:cs="Times New Roman" w:eastAsia="Times New Roman"/>
          <w:color w:val="auto"/>
          <w:spacing w:val="0"/>
          <w:position w:val="0"/>
          <w:sz w:val="21"/>
          <w:shd w:fill="auto" w:val="clear"/>
        </w:rPr>
        <w:t xml:space="preserve">70</w:t>
      </w:r>
      <w:r>
        <w:rPr>
          <w:rFonts w:ascii="宋体" w:hAnsi="宋体" w:cs="宋体" w:eastAsia="宋体"/>
          <w:color w:val="auto"/>
          <w:spacing w:val="0"/>
          <w:position w:val="0"/>
          <w:sz w:val="21"/>
          <w:shd w:fill="auto" w:val="clear"/>
        </w:rPr>
        <w:t xml:space="preserve">多个国家和地区举行选举。以下为其中两国选举的新闻：</w:t>
      </w:r>
    </w:p>
    <w:tbl>
      <w:tblPr/>
      <w:tblGrid>
        <w:gridCol w:w="4155"/>
        <w:gridCol w:w="4155"/>
      </w:tblGrid>
      <w:tr>
        <w:trPr>
          <w:trHeight w:val="1" w:hRule="atLeast"/>
          <w:jc w:val="left"/>
        </w:trPr>
        <w:tc>
          <w:tcPr>
            <w:tcW w:w="415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center"/>
          </w:tcPr>
          <w:p>
            <w:pPr>
              <w:spacing w:before="0" w:after="0" w:line="4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月初，孟加拉国举行国民议会选举，哈西娜领导的人民联盟获得</w:t>
            </w:r>
            <w:r>
              <w:rPr>
                <w:rFonts w:ascii="Times New Roman" w:hAnsi="Times New Roman" w:cs="Times New Roman" w:eastAsia="Times New Roman"/>
                <w:color w:val="auto"/>
                <w:spacing w:val="0"/>
                <w:position w:val="0"/>
                <w:sz w:val="21"/>
                <w:shd w:fill="auto" w:val="clear"/>
              </w:rPr>
              <w:t xml:space="preserve">223</w:t>
            </w:r>
            <w:r>
              <w:rPr>
                <w:rFonts w:ascii="宋体" w:hAnsi="宋体" w:cs="宋体" w:eastAsia="宋体"/>
                <w:color w:val="auto"/>
                <w:spacing w:val="0"/>
                <w:position w:val="0"/>
                <w:sz w:val="21"/>
                <w:shd w:fill="auto" w:val="clear"/>
              </w:rPr>
              <w:t xml:space="preserve">个席位，成为多数党。随后，总统穆罕默德</w:t>
            </w:r>
            <w:r>
              <w:rPr>
                <w:rFonts w:ascii="宋体" w:hAnsi="宋体" w:cs="宋体" w:eastAsia="宋体"/>
                <w:color w:val="auto"/>
                <w:spacing w:val="0"/>
                <w:position w:val="0"/>
                <w:sz w:val="21"/>
                <w:shd w:fill="auto" w:val="clear"/>
              </w:rPr>
              <w:t xml:space="preserve">·谢哈布丁·楚普任命哈西娜为总理，并同意由其组建新内阁。</w:t>
            </w:r>
          </w:p>
        </w:tc>
        <w:tc>
          <w:tcPr>
            <w:tcW w:w="415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center"/>
          </w:tcPr>
          <w:p>
            <w:pPr>
              <w:spacing w:before="0" w:after="0" w:line="4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日，英国众议院大选结果揭晓，工党以绝对优势获得压倒性胜利，而执政的保守党仅获得少数议席。</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日，英国工党领袖基尔</w:t>
            </w:r>
            <w:r>
              <w:rPr>
                <w:rFonts w:ascii="宋体" w:hAnsi="宋体" w:cs="宋体" w:eastAsia="宋体"/>
                <w:color w:val="auto"/>
                <w:spacing w:val="0"/>
                <w:position w:val="0"/>
                <w:sz w:val="21"/>
                <w:shd w:fill="auto" w:val="clear"/>
              </w:rPr>
              <w:t xml:space="preserve">·斯塔默觐见国王、接受任命，成为新任英国首相。</w:t>
            </w:r>
          </w:p>
        </w:tc>
      </w:tr>
    </w:tbl>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由此可推断（</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孟加拉国与英国的政府首脑均对议会负责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孟加拉国总统是政府首脑，直接行使最高行政权力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英国议会若不信任政府，首相可提请国家元首解散议会</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虽然国家结构形式不同，但两国都属于资产阶级性质的民主</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①③</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①②</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②③</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③④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．为避免欧洲车企可能面临的高额罚金，欧盟委员会决定将“</w:t>
      </w:r>
      <w:r>
        <w:rPr>
          <w:rFonts w:ascii="Times New Roman" w:hAnsi="Times New Roman" w:cs="Times New Roman" w:eastAsia="Times New Roman"/>
          <w:color w:val="auto"/>
          <w:spacing w:val="0"/>
          <w:position w:val="0"/>
          <w:sz w:val="21"/>
          <w:shd w:fill="auto" w:val="clear"/>
        </w:rPr>
        <w:t xml:space="preserve">2025</w:t>
      </w:r>
      <w:r>
        <w:rPr>
          <w:rFonts w:ascii="宋体" w:hAnsi="宋体" w:cs="宋体" w:eastAsia="宋体"/>
          <w:color w:val="auto"/>
          <w:spacing w:val="0"/>
          <w:position w:val="0"/>
          <w:sz w:val="21"/>
          <w:shd w:fill="auto" w:val="clear"/>
        </w:rPr>
        <w:t xml:space="preserve">年燃油车碳排放量较</w:t>
      </w:r>
      <w:r>
        <w:rPr>
          <w:rFonts w:ascii="Times New Roman" w:hAnsi="Times New Roman" w:cs="Times New Roman" w:eastAsia="Times New Roman"/>
          <w:color w:val="auto"/>
          <w:spacing w:val="0"/>
          <w:position w:val="0"/>
          <w:sz w:val="21"/>
          <w:shd w:fill="auto" w:val="clear"/>
        </w:rPr>
        <w:t xml:space="preserve">2021</w:t>
      </w:r>
      <w:r>
        <w:rPr>
          <w:rFonts w:ascii="宋体" w:hAnsi="宋体" w:cs="宋体" w:eastAsia="宋体"/>
          <w:color w:val="auto"/>
          <w:spacing w:val="0"/>
          <w:position w:val="0"/>
          <w:sz w:val="21"/>
          <w:shd w:fill="auto" w:val="clear"/>
        </w:rPr>
        <w:t xml:space="preserve">年降低</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”这一阶段性目标的达成时间延迟至</w:t>
      </w:r>
      <w:r>
        <w:rPr>
          <w:rFonts w:ascii="Times New Roman" w:hAnsi="Times New Roman" w:cs="Times New Roman" w:eastAsia="Times New Roman"/>
          <w:color w:val="auto"/>
          <w:spacing w:val="0"/>
          <w:position w:val="0"/>
          <w:sz w:val="21"/>
          <w:shd w:fill="auto" w:val="clear"/>
        </w:rPr>
        <w:t xml:space="preserve">2027</w:t>
      </w:r>
      <w:r>
        <w:rPr>
          <w:rFonts w:ascii="宋体" w:hAnsi="宋体" w:cs="宋体" w:eastAsia="宋体"/>
          <w:color w:val="auto"/>
          <w:spacing w:val="0"/>
          <w:position w:val="0"/>
          <w:sz w:val="21"/>
          <w:shd w:fill="auto" w:val="clear"/>
        </w:rPr>
        <w:t xml:space="preserve">年，从而给欧洲汽车产业以“喘息空间”。欧盟委员会推迟阶段性目标达成时间（</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．表明欧盟愿意承担共同但有差别的减排责任</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．表明欧盟委员会是欧洲联盟的最高决策机构</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．是为了自身经济发展而规避节能减排的责任</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．增强了欧洲车企参与全球化竞争的自身实力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．科技伦理是指科技工作者及其共同体在科学研究和技术开发等科技活动中，需要遵循的价值理念和行为规范，是促进科技向善、增进人类福祉、推动科技事业健康发展的重要保障。据此，下列推断正确的是（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有的推动科技事业健康发展的重要保障是科技伦理</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科技伦理不是不需要科技工作者在科技活动中遵循的</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有的科技伦理不需要科技工作者在科技活动中遵循</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科技工作者在科技活动中需要遵循的行为规范是科技伦理</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①②</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①④</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②③</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③④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．在一次化学实验中，同学们将一种黑色粉末与一种无色溶液混合，产生了大量气泡。对此，同学们展开了探究。</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提出假设：有同学假设产生的气体是氧气。</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收集证据：同学们将带火星的木条伸入产生的气体中，发现木条复燃；又通过实验测定该气体的密度比空气略大，且不易溶于水。</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根据上述实验探究，以下分析正确的是（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．以“产生的气体能复燃会怎样”的“假如”式问题引导学生展开想象，达成实验目的</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．若气体是氧气，则带火星木条会复燃；现在带火星木条复燃，能推出该气体是氧气</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．从观察到产生大量气泡到分析得出气体可能是氧气，这是从感性具体上升到思维抽象</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．运用求同法，根据与氧气相同的特征，确定产生的气体是氧气，该探究严谨可靠</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．李某和黄某分别是某小区</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栋</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单元</w:t>
      </w:r>
      <w:r>
        <w:rPr>
          <w:rFonts w:ascii="Times New Roman" w:hAnsi="Times New Roman" w:cs="Times New Roman" w:eastAsia="Times New Roman"/>
          <w:color w:val="auto"/>
          <w:spacing w:val="0"/>
          <w:position w:val="0"/>
          <w:sz w:val="21"/>
          <w:shd w:fill="auto" w:val="clear"/>
        </w:rPr>
        <w:t xml:space="preserve">803</w:t>
      </w:r>
      <w:r>
        <w:rPr>
          <w:rFonts w:ascii="宋体" w:hAnsi="宋体" w:cs="宋体" w:eastAsia="宋体"/>
          <w:color w:val="auto"/>
          <w:spacing w:val="0"/>
          <w:position w:val="0"/>
          <w:sz w:val="21"/>
          <w:shd w:fill="auto" w:val="clear"/>
        </w:rPr>
        <w:t xml:space="preserve">户和</w:t>
      </w:r>
      <w:r>
        <w:rPr>
          <w:rFonts w:ascii="Times New Roman" w:hAnsi="Times New Roman" w:cs="Times New Roman" w:eastAsia="Times New Roman"/>
          <w:color w:val="auto"/>
          <w:spacing w:val="0"/>
          <w:position w:val="0"/>
          <w:sz w:val="21"/>
          <w:shd w:fill="auto" w:val="clear"/>
        </w:rPr>
        <w:t xml:space="preserve">903</w:t>
      </w:r>
      <w:r>
        <w:rPr>
          <w:rFonts w:ascii="宋体" w:hAnsi="宋体" w:cs="宋体" w:eastAsia="宋体"/>
          <w:color w:val="auto"/>
          <w:spacing w:val="0"/>
          <w:position w:val="0"/>
          <w:sz w:val="21"/>
          <w:shd w:fill="auto" w:val="clear"/>
        </w:rPr>
        <w:t xml:space="preserve">户的业主。一天，李某发现其厨房的顶部有渗水，导致墙壁破裂、橱柜霉变。于是李某委托当地房屋质量检测机构进行检测，发现是黄某家的厨房漏水所致。李某与黄某多次协商未果，遂诉至法院，要求黄某修复漏水且赔偿</w:t>
      </w:r>
      <w:r>
        <w:rPr>
          <w:rFonts w:ascii="Times New Roman" w:hAnsi="Times New Roman" w:cs="Times New Roman" w:eastAsia="Times New Roman"/>
          <w:color w:val="auto"/>
          <w:spacing w:val="0"/>
          <w:position w:val="0"/>
          <w:sz w:val="21"/>
          <w:shd w:fill="auto" w:val="clear"/>
        </w:rPr>
        <w:t xml:space="preserve">10000</w:t>
      </w:r>
      <w:r>
        <w:rPr>
          <w:rFonts w:ascii="宋体" w:hAnsi="宋体" w:cs="宋体" w:eastAsia="宋体"/>
          <w:color w:val="auto"/>
          <w:spacing w:val="0"/>
          <w:position w:val="0"/>
          <w:sz w:val="21"/>
          <w:shd w:fill="auto" w:val="clear"/>
        </w:rPr>
        <w:t xml:space="preserve">元。对此，下列说法正确的是（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．法院可主持诉讼外调解，以便双方当事人高效解决纠纷</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．房屋质量检测机构的检测报告可作为物证送至法庭</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．该案适用举证责任倒置，黄某需证明其行为与漏水无因果关系</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．若漏水系房屋建筑质量问题，黄某向李某赔偿后可向开发商追偿</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年版全国外资准入负面清单自</w:t>
      </w:r>
      <w:r>
        <w:rPr>
          <w:rFonts w:ascii="Times New Roman" w:hAnsi="Times New Roman" w:cs="Times New Roman" w:eastAsia="Times New Roman"/>
          <w:color w:val="auto"/>
          <w:spacing w:val="0"/>
          <w:position w:val="0"/>
          <w:sz w:val="21"/>
          <w:shd w:fill="auto" w:val="clear"/>
        </w:rPr>
        <w:t xml:space="preserve">2024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日起施行。与</w:t>
      </w:r>
      <w:r>
        <w:rPr>
          <w:rFonts w:ascii="Times New Roman" w:hAnsi="Times New Roman" w:cs="Times New Roman" w:eastAsia="Times New Roman"/>
          <w:color w:val="auto"/>
          <w:spacing w:val="0"/>
          <w:position w:val="0"/>
          <w:sz w:val="21"/>
          <w:shd w:fill="auto" w:val="clear"/>
        </w:rPr>
        <w:t xml:space="preserve">2021</w:t>
      </w:r>
      <w:r>
        <w:rPr>
          <w:rFonts w:ascii="宋体" w:hAnsi="宋体" w:cs="宋体" w:eastAsia="宋体"/>
          <w:color w:val="auto"/>
          <w:spacing w:val="0"/>
          <w:position w:val="0"/>
          <w:sz w:val="21"/>
          <w:shd w:fill="auto" w:val="clear"/>
        </w:rPr>
        <w:t xml:space="preserve">年版相比，最新版负面清单删除了制造业领域仅剩的</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条限制措施，制造业领域外资准入限制措施实现“清零”。此举的积极效应有（</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最大限度开放市场→增强外商投资信心→吸引制造业投资→促进制造业高质量发展</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优化对外引资结构→促进制造资本优化配置→提升对外开放层次→形成对外开放格局</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扩大市场准入→扩大开放竞争→增强制造业活力→推动“制造大国”向“制造强国”迈进</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实现贸易投资便利化→助力外企“走进来”→吸收外企先进经验→助力中国制造提质升级</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①③</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①④</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②③</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帕累托最优，指这样一种社会状态：对任何人来说，如果不使其他某个（或某些）人情况变坏，他的情况就不可能变好。如果一种变革能使至少有一个人的情况变好同时没有其他人情况因此变坏，则称这一变革为帕累托变革。据此，以下断定正确的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帕累托最优时，只要有人情况变好，就有人情况变坏</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帕累托最优时，如果有人情况变坏，就有人情况变好</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没有任何帕累托变革余地，社会就处于帕累托最优状态</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实行帕累托变革是社会达到帕累托最优状态的充分条件</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①③</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①④</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②③</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唐代著名诗人白居易写过一首题为《夜雪》的诗：“已讶衾枕冷，复见窗户明。夜深知雪重，时闻折竹声。”全诗的每一句都紧紧围绕《夜雪》这一主题，却没有一句表明作者亲眼看到夜里在下雪，而只是通过对一系列相关事物的感知来推知夜里下过大雪这一客观事实。这首诗（</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运用综合思维分别从不同方面来反映“夜雪”这一现象</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在感觉、知觉和表象的基础上，运用联想描绘“夜雪”</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用“衾枕冷”“窗户明”等体现抽象思维运行方式的推导性</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通过“折竹声”等判断“夜深雪重”体现了思维的间接性</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①②</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①③</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②④</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③④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宣纸居于文房四宝之首，享有“纸中之王”的誉称。宣纸作为地理标志保护产品，国家标准明确定义为只有利用产自安徽泾县及周边地区的青檀树皮和沙田稻草，在泾县范围内，用泾县特有的山泉水以及传统工艺精制而成的纸，才能称之为宣纸。据此，可必然推出的结论是（</w:t>
      </w:r>
      <w:r>
        <w:rPr>
          <w:rFonts w:ascii="宋体" w:hAnsi="宋体" w:cs="宋体" w:eastAsia="宋体"/>
          <w:color w:val="auto"/>
          <w:spacing w:val="0"/>
          <w:position w:val="0"/>
          <w:sz w:val="24"/>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如果是宣纸，那么该纸制作过程中一定使用了泾县特有的山泉水</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若用泾县的沙田稻草、山泉水以及传统工艺制成的纸，则一定是宣纸</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若没有用泾县特有的山泉水以及传统工艺，则生产出的纸一定不是宣纸</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只有利用产自安徽泾县的青檀树皮和沙田稻草制作的纸，才是宣纸</w:t>
      </w:r>
    </w:p>
    <w:p>
      <w:pPr>
        <w:tabs>
          <w:tab w:val="left" w:pos="2078" w:leader="none"/>
          <w:tab w:val="left" w:pos="4156" w:leader="none"/>
          <w:tab w:val="left" w:pos="6234" w:leader="none"/>
        </w:tabs>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①②</w:t>
      </w:r>
      <w:r>
        <w:rPr>
          <w:rFonts w:ascii="Times New Roman" w:hAnsi="Times New Roman" w:cs="Times New Roman" w:eastAsia="Times New Roman"/>
          <w:color w:val="auto"/>
          <w:spacing w:val="0"/>
          <w:position w:val="0"/>
          <w:sz w:val="21"/>
          <w:shd w:fill="auto" w:val="clear"/>
        </w:rPr>
        <w:tab/>
        <w:t xml:space="preserve">B</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①③</w:t>
      </w:r>
      <w:r>
        <w:rPr>
          <w:rFonts w:ascii="Times New Roman" w:hAnsi="Times New Roman" w:cs="Times New Roman" w:eastAsia="Times New Roman"/>
          <w:color w:val="auto"/>
          <w:spacing w:val="0"/>
          <w:position w:val="0"/>
          <w:sz w:val="21"/>
          <w:shd w:fill="auto" w:val="clear"/>
        </w:rPr>
        <w:tab/>
        <w:t xml:space="preserve">C</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②④</w:t>
      </w:r>
      <w:r>
        <w:rPr>
          <w:rFonts w:ascii="Times New Roman" w:hAnsi="Times New Roman" w:cs="Times New Roman" w:eastAsia="Times New Roman"/>
          <w:color w:val="auto"/>
          <w:spacing w:val="0"/>
          <w:position w:val="0"/>
          <w:sz w:val="21"/>
          <w:shd w:fill="auto" w:val="clear"/>
        </w:rPr>
        <w:tab/>
        <w:t xml:space="preserve">D</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③④</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w:t>
      </w:r>
      <w:r>
        <w:rPr>
          <w:rFonts w:ascii="楷体" w:hAnsi="楷体" w:cs="楷体" w:eastAsia="楷体"/>
          <w:color w:val="auto"/>
          <w:spacing w:val="0"/>
          <w:position w:val="0"/>
          <w:sz w:val="21"/>
          <w:shd w:fill="auto" w:val="clear"/>
        </w:rPr>
        <w:t xml:space="preserve">我们的生活需要美，生活需要创造美，美把我们的生活变得更好。</w:t>
      </w:r>
    </w:p>
    <w:p>
      <w:pPr>
        <w:spacing w:before="0" w:after="0" w:line="400"/>
        <w:ind w:right="0" w:left="0" w:firstLine="560"/>
        <w:jc w:val="left"/>
        <w:rPr>
          <w:rFonts w:ascii="Times New Roman" w:hAnsi="Times New Roman" w:cs="Times New Roman" w:eastAsia="Times New Roman"/>
          <w:color w:val="auto"/>
          <w:spacing w:val="0"/>
          <w:position w:val="0"/>
          <w:sz w:val="21"/>
          <w:shd w:fill="auto" w:val="clear"/>
        </w:rPr>
      </w:pPr>
      <w:r>
        <w:rPr>
          <w:rFonts w:ascii="楷体" w:hAnsi="楷体" w:cs="楷体" w:eastAsia="楷体"/>
          <w:color w:val="auto"/>
          <w:spacing w:val="0"/>
          <w:position w:val="0"/>
          <w:sz w:val="21"/>
          <w:shd w:fill="auto" w:val="clear"/>
        </w:rPr>
        <w:t xml:space="preserve">法律让社会变得更美好。张某（住二楼）下班时被杨某（住一楼）家拴在楼梯扶手上的宠物犬咬伤。张某找到杨某说明情况要求赔偿，杨某反而指责张某不小心，二人争论不休，并发生肢体冲突，张某辱骂杨某是“垃圾”。邻居王某（一楼）将二人争吵全程录拍下来并配文“芝麻绿豆大的事，两个成年人吵翻天”发布到社区微信大群，同时还曝光了两人姓名、联系电话、门牌号码等相关信息。张某、杨某、王某三人在诉讼调解中化解了矛盾。</w:t>
      </w:r>
    </w:p>
    <w:p>
      <w:pPr>
        <w:spacing w:before="0" w:after="0" w:line="400"/>
        <w:ind w:right="0" w:left="0" w:firstLine="560"/>
        <w:jc w:val="left"/>
        <w:rPr>
          <w:rFonts w:ascii="Times New Roman" w:hAnsi="Times New Roman" w:cs="Times New Roman" w:eastAsia="Times New Roman"/>
          <w:color w:val="auto"/>
          <w:spacing w:val="0"/>
          <w:position w:val="0"/>
          <w:sz w:val="21"/>
          <w:shd w:fill="auto" w:val="clear"/>
        </w:rPr>
      </w:pPr>
      <w:r>
        <w:rPr>
          <w:rFonts w:ascii="楷体" w:hAnsi="楷体" w:cs="楷体" w:eastAsia="楷体"/>
          <w:color w:val="auto"/>
          <w:spacing w:val="0"/>
          <w:position w:val="0"/>
          <w:sz w:val="21"/>
          <w:shd w:fill="auto" w:val="clear"/>
        </w:rPr>
        <w:t xml:space="preserve">创新让社会变得更美好。某城煤矿闭坑后留下巨大的矿坑，成为“城市伤疤”。近年来，政府转变治理思路，通过专家咨询论证会、社会听证会、社区走访调查等方式，广泛听取相关专家、基层群众、投资公司等方面意见，集思广益，专题商讨治理问题，确定了治理方案。如今，该城开展生态复垦，让矿坑变身公园，并将城市经济发展和生态环境治理相结合，因地制宜，在周边建成生态健身广场，一幅“美丽画卷”展现眼前。作为资源枯竭型城市，该城以宜居宜业的城市风貌，见证了转型发展的蝶变。</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运用《法律与生活》知识，如果你是人民法院的法官如何评析张某、杨某、王某三人各自行为。</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结合材料，运用《逻辑与思维》中创新思维的知识，说明该城在“美丽画卷”塑造中运用的思维方法。</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