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0D4DD">
      <w:pPr>
        <w:spacing w:line="360" w:lineRule="auto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《</w:t>
      </w:r>
      <w:r>
        <w:rPr>
          <w:rFonts w:hint="eastAsia"/>
          <w:sz w:val="24"/>
          <w:szCs w:val="24"/>
          <w:lang w:val="en-US" w:eastAsia="zh-CN"/>
        </w:rPr>
        <w:t>归去来兮辞》开课反思</w:t>
      </w:r>
    </w:p>
    <w:p w14:paraId="09133452">
      <w:pPr>
        <w:spacing w:line="360" w:lineRule="auto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王露浛</w:t>
      </w:r>
    </w:p>
    <w:p w14:paraId="3E96C7C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归去来兮辞》常常被视为《归园田居》（其一）的姊妹篇，相关的公开课设计中也常见两篇的联读，其中不乏在“归”字上下足了功夫的佳作。从“归心”到“心归”，陶渊明走过了怎样的心路历程？喊着“归去”的陶渊明，是否真的心归了那片田园？</w:t>
      </w:r>
      <w:r>
        <w:rPr>
          <w:rFonts w:ascii="宋体" w:hAnsi="宋体" w:eastAsia="宋体" w:cs="宋体"/>
          <w:sz w:val="24"/>
          <w:szCs w:val="24"/>
        </w:rPr>
        <w:t>“景翳翳以将入，抚孤松而盘桓”“或命巾车，或棹孤舟”“怀良辰以孤往，或植杖而耘耔”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一篇之中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孤”字三现，《归去来兮辞》似乎并不仅仅在讲述读者一般印象中的“田园之乐”。这节课的设计，旨在通过诗句的品读，让学生理解陶渊明“质性自然”与“生平之志”的矛盾，看到一个更为立体的陶渊明。</w:t>
      </w:r>
    </w:p>
    <w:p w14:paraId="5D828DBF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节课的设计思路较为清晰，但在课堂实践中，学生的反应却大不如意。这也让我反思起自己的课堂艺术问题。设计是否脱离了学生的实际情况？提问的方式和提问的时机是否恰当？有没有给学生足够的阅读和思考时间？更重要的是，如何让课堂在对话中推进，而不是变成我的一言堂？在这方面，我希望能向同组的老师们多多学习借鉴，以便有所提高。</w:t>
      </w:r>
      <w:bookmarkStart w:id="0" w:name="_GoBack"/>
      <w:bookmarkEnd w:id="0"/>
    </w:p>
    <w:p w14:paraId="262591B9">
      <w:pPr>
        <w:ind w:firstLine="480" w:firstLineChars="200"/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9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</Characters>
  <Lines>0</Lines>
  <Paragraphs>0</Paragraphs>
  <TotalTime>9</TotalTime>
  <ScaleCrop>false</ScaleCrop>
  <LinksUpToDate>false</LinksUpToDate>
  <CharactersWithSpaces>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2025-06-19T01:25:19Z</dcterms:created>
  <dc:creator>Administrator</dc:creator>
  <cp:lastModifiedBy>王露浛</cp:lastModifiedBy>
  <dcterms:modified xsi:type="dcterms:W3CDTF">2025-06-19T01:42:48Z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eyJoZGlkIjoiNTE5MTJkNGJiZTgzYjI4MDMzZmFjODYxNWRkMTcwOWMiLCJ1c2VySWQiOiIyOTcyMDk4MzkifQ==</vt:lpwstr>
  </property>
  <property fmtid="{D5CDD505-2E9C-101B-9397-08002B2CF9AE}" pid="4" name="ICV">
    <vt:lpwstr>129879C32A764C2F9716CFB7FCEFD800_12</vt:lpwstr>
  </property>
</Properties>
</file>