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B4957B">
      <w:pPr>
        <w:jc w:val="center"/>
        <w:rPr>
          <w:rFonts w:hint="eastAsia"/>
        </w:rPr>
      </w:pPr>
      <w:r>
        <w:rPr>
          <w:rFonts w:hint="eastAsia"/>
          <w:sz w:val="36"/>
          <w:szCs w:val="36"/>
        </w:rPr>
        <w:t>开课反思</w:t>
      </w:r>
    </w:p>
    <w:p w14:paraId="639D684B">
      <w:pPr>
        <w:jc w:val="center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 xml:space="preserve">南京市秦淮中学 </w:t>
      </w:r>
      <w:r>
        <w:rPr>
          <w:rFonts w:hint="eastAsia"/>
          <w:sz w:val="28"/>
          <w:szCs w:val="28"/>
          <w:lang w:val="en-US" w:eastAsia="zh-CN"/>
        </w:rPr>
        <w:t xml:space="preserve">  邱晨</w:t>
      </w:r>
    </w:p>
    <w:p w14:paraId="0DC216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bookmarkStart w:id="0" w:name="_GoBack"/>
      <w:r>
        <w:rPr>
          <w:rFonts w:hint="eastAsia"/>
          <w:sz w:val="24"/>
          <w:szCs w:val="24"/>
        </w:rPr>
        <w:t>本次课程以 “未来已来，探索职业发展” 为核心，依托 “流星职业”“恒星职业” 等概念，通过对比分析、案例研讨与实践规划，引导学生认识职业变迁规律，理解人工智能时代所需能力。课程以 100 年前未来想象与当今科技成就的对比视频导入，借助职业案例串联理论知识，最终通过 “能力提升规划表” 推动学生将认知转化为行动，力求在历史性与前瞻性之间搭建桥梁。</w:t>
      </w:r>
    </w:p>
    <w:p w14:paraId="24F838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回顾教学过程，仍有以下改进空间：</w:t>
      </w:r>
    </w:p>
    <w:p w14:paraId="08E690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1.</w:t>
      </w:r>
      <w:r>
        <w:rPr>
          <w:rFonts w:hint="eastAsia"/>
          <w:sz w:val="24"/>
          <w:szCs w:val="24"/>
        </w:rPr>
        <w:t>理论深度与现实联结不足</w:t>
      </w:r>
    </w:p>
    <w:p w14:paraId="0E86BD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在阐释 “恒星职业” 稳定性时，学生对 “人类基本需求” 的理解多停留在 “生存需要” 等表层。若增设 “社区志愿者”“临终关怀工作者” 等小众职业案例，引导学生思考 “职业如何满足精神需求”，可帮助其跳出物质性视角，深化对职业价值的认知。</w:t>
      </w:r>
    </w:p>
    <w:p w14:paraId="2DF20D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2.</w:t>
      </w:r>
      <w:r>
        <w:rPr>
          <w:rFonts w:hint="eastAsia"/>
          <w:sz w:val="24"/>
          <w:szCs w:val="24"/>
        </w:rPr>
        <w:t>差异化指导有待加强</w:t>
      </w:r>
    </w:p>
    <w:p w14:paraId="7CEEC5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部分学生因 “未来能力自评中优势能力不突出” 而产生焦虑感，如</w:t>
      </w:r>
      <w:r>
        <w:rPr>
          <w:rFonts w:hint="eastAsia"/>
          <w:sz w:val="24"/>
          <w:szCs w:val="24"/>
          <w:lang w:val="en-US" w:eastAsia="zh-CN"/>
        </w:rPr>
        <w:t>学</w:t>
      </w:r>
      <w:r>
        <w:rPr>
          <w:rFonts w:hint="eastAsia"/>
          <w:sz w:val="24"/>
          <w:szCs w:val="24"/>
        </w:rPr>
        <w:t>生认为 “喜欢手工但无对应职业前景”，课堂中未能及时提供 “兴趣跨界转化” 策略，导致其陷入 “兴趣局限”的误区。后续可设计“兴趣 - 职业跨界转化清单”，为不同类型的兴趣提供具体路径参考。</w:t>
      </w:r>
    </w:p>
    <w:p w14:paraId="6F7621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本次授课让我意识到，职业探索不是简单的“趋势判断”，而是引导学生在历史变迁与未来展望的碰撞中，看见职业的多元性与可能性。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ontserrat">
    <w:altName w:val="Directive Four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irective Four">
    <w:panose1 w:val="02000500000000000000"/>
    <w:charset w:val="00"/>
    <w:family w:val="auto"/>
    <w:pitch w:val="default"/>
    <w:sig w:usb0="800000A7" w:usb1="5000004A" w:usb2="00000000" w:usb3="00000000" w:csb0="0000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C63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2025-06-16T09:05:44Z</dcterms:created>
  <dc:creator>broove</dc:creator>
  <cp:lastModifiedBy>Broove</cp:lastModifiedBy>
  <dcterms:modified xsi:type="dcterms:W3CDTF">2025-06-16T09:07:29Z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eyJoZGlkIjoiYTQ4MTQ1NDYwMTA5MGM3MWFiMTE5ZTg5MWRkNmMzZTUiLCJ1c2VySWQiOiI4NTQyNjM2NDkifQ==</vt:lpwstr>
  </property>
  <property fmtid="{D5CDD505-2E9C-101B-9397-08002B2CF9AE}" pid="4" name="ICV">
    <vt:lpwstr>0E6C2BABA12C40E8A436F0EC083B8CE9_12</vt:lpwstr>
  </property>
</Properties>
</file>