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A1A08">
      <w:pPr>
        <w:numPr>
          <w:ilvl w:val="0"/>
          <w:numId w:val="1"/>
        </w:numPr>
        <w:rPr>
          <w:rFonts w:hint="eastAsia"/>
          <w:lang w:val="en-US" w:eastAsia="zh-CN"/>
        </w:rPr>
      </w:pPr>
      <w:r>
        <w:rPr>
          <w:rFonts w:hint="eastAsia"/>
          <w:lang w:val="en-US" w:eastAsia="zh-CN"/>
        </w:rPr>
        <w:t>调整好心态，放平心态，不要紧张，考试时分配好主观题和客观题的时间，做选择题要心细，审题留下痕迹，读懂材料再作出选择。做材料题一定要审清设问，不光看知识范围，还要看问题逻辑，对长篇幅的材料要概括大意，把握主旨，适当分层。</w:t>
      </w:r>
    </w:p>
    <w:p w14:paraId="7ED7C384">
      <w:pPr>
        <w:numPr>
          <w:ilvl w:val="0"/>
          <w:numId w:val="1"/>
        </w:numPr>
        <w:rPr>
          <w:rFonts w:hint="default" w:eastAsiaTheme="minorEastAsia"/>
          <w:lang w:val="en-US" w:eastAsia="zh-CN"/>
        </w:rPr>
      </w:pPr>
      <w:r>
        <w:rPr>
          <w:rFonts w:hint="eastAsia"/>
          <w:lang w:val="en-US" w:eastAsia="zh-CN"/>
        </w:rPr>
        <w:t>经济类的专业术语和哲学部分的原理方法论考前再过一遍，必修三对照书本目录把握不同主体的职能有哪些，如何做。法律部分注意年龄节点、时效节点、权利节点和民法的基本原则、个人信息权益的使用原则、履行合同的原则、物权平等保护原则、处理相邻关系的原则等，进行分类记忆。逻辑部分对照书本分析科学思维的特征、逻辑思维的概念、判断和推理，辩证思维的知识点和创新思维的具体内容。</w:t>
      </w:r>
    </w:p>
    <w:p w14:paraId="3CAFDED0">
      <w:pPr>
        <w:numPr>
          <w:ilvl w:val="0"/>
          <w:numId w:val="1"/>
        </w:numPr>
        <w:rPr>
          <w:rFonts w:hint="default" w:eastAsiaTheme="minorEastAsia"/>
          <w:lang w:val="en-US" w:eastAsia="zh-CN"/>
        </w:rPr>
      </w:pPr>
      <w:r>
        <w:rPr>
          <w:rFonts w:hint="eastAsia"/>
          <w:lang w:val="en-US" w:eastAsia="zh-CN"/>
        </w:rPr>
        <w:t>8+1题组限时训练，强化主观题的思维方法，提升选择题效率，拿到应拿的分，拿到可拿的分。</w:t>
      </w:r>
    </w:p>
    <w:p w14:paraId="70C47138">
      <w:pPr>
        <w:numPr>
          <w:numId w:val="0"/>
        </w:numPr>
        <w:rPr>
          <w:rFonts w:hint="default" w:eastAsiaTheme="minorEastAsia"/>
          <w:lang w:val="en-US" w:eastAsia="zh-CN"/>
        </w:rPr>
      </w:pPr>
    </w:p>
    <w:p w14:paraId="4F60132F">
      <w:pPr>
        <w:jc w:val="center"/>
        <w:textAlignment w:val="center"/>
        <w:rPr>
          <w:rFonts w:ascii="宋体" w:hAnsi="宋体" w:eastAsia="宋体" w:cs="宋体"/>
          <w:b/>
          <w:i w:val="0"/>
          <w:color w:val="000000"/>
          <w:sz w:val="30"/>
        </w:rPr>
      </w:pPr>
      <w:r>
        <w:drawing>
          <wp:inline distT="0" distB="0" distL="114300" distR="114300">
            <wp:extent cx="12700" cy="127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6"/>
                    <a:stretch>
                      <a:fillRect/>
                    </a:stretch>
                  </pic:blipFill>
                  <pic:spPr>
                    <a:xfrm>
                      <a:off x="0" y="0"/>
                      <a:ext cx="12700" cy="12700"/>
                    </a:xfrm>
                    <a:prstGeom prst="rect">
                      <a:avLst/>
                    </a:prstGeom>
                  </pic:spPr>
                </pic:pic>
              </a:graphicData>
            </a:graphic>
          </wp:inline>
        </w:drawing>
      </w:r>
      <w:r>
        <w:rPr>
          <w:rFonts w:ascii="宋体" w:hAnsi="宋体" w:eastAsia="宋体" w:cs="宋体"/>
          <w:b/>
          <w:i w:val="0"/>
          <w:color w:val="000000"/>
          <w:sz w:val="30"/>
        </w:rPr>
        <w:t>2025高三题组训练（四）</w:t>
      </w:r>
    </w:p>
    <w:p w14:paraId="7D5A48C2">
      <w:pPr>
        <w:jc w:val="center"/>
        <w:textAlignment w:val="center"/>
        <w:rPr>
          <w:rFonts w:ascii="Calibri" w:hAnsi="Calibri" w:eastAsia="Calibri" w:cs="Calibri"/>
          <w:b w:val="0"/>
          <w:i w:val="0"/>
          <w:color w:val="000000"/>
          <w:sz w:val="21"/>
        </w:rPr>
      </w:pPr>
      <w:r>
        <w:rPr>
          <w:rFonts w:ascii="Calibri" w:hAnsi="Calibri" w:eastAsia="Calibri" w:cs="Calibri"/>
          <w:b w:val="0"/>
          <w:i w:val="0"/>
          <w:color w:val="000000"/>
          <w:sz w:val="21"/>
        </w:rPr>
        <w:t>学校:___________姓名：___________班级：___________考号：___________</w:t>
      </w:r>
    </w:p>
    <w:p w14:paraId="790ECF28">
      <w:pPr>
        <w:jc w:val="center"/>
        <w:textAlignment w:val="center"/>
        <w:rPr>
          <w:rFonts w:ascii="黑体" w:hAnsi="黑体" w:eastAsia="黑体" w:cs="黑体"/>
          <w:b/>
          <w:i w:val="0"/>
          <w:color w:val="000000"/>
          <w:sz w:val="30"/>
        </w:rPr>
      </w:pPr>
    </w:p>
    <w:p w14:paraId="3E43AD0A">
      <w:pPr>
        <w:jc w:val="left"/>
        <w:textAlignment w:val="center"/>
        <w:rPr>
          <w:rFonts w:ascii="宋体" w:hAnsi="宋体" w:eastAsia="宋体" w:cs="宋体"/>
          <w:b/>
          <w:i w:val="0"/>
          <w:color w:val="000000"/>
          <w:sz w:val="21"/>
        </w:rPr>
      </w:pPr>
      <w:r>
        <w:rPr>
          <w:rFonts w:ascii="宋体" w:hAnsi="宋体" w:eastAsia="宋体" w:cs="宋体"/>
          <w:b/>
          <w:i w:val="0"/>
          <w:color w:val="000000"/>
          <w:sz w:val="21"/>
        </w:rPr>
        <w:t>一、单选题</w:t>
      </w:r>
    </w:p>
    <w:p w14:paraId="418E7CDE">
      <w:pPr>
        <w:shd w:val="clear" w:color="auto" w:fill="auto"/>
        <w:spacing w:line="360" w:lineRule="auto"/>
        <w:jc w:val="left"/>
        <w:textAlignment w:val="center"/>
        <w:rPr>
          <w:sz w:val="21"/>
        </w:rPr>
      </w:pPr>
      <w:r>
        <w:rPr>
          <w:sz w:val="21"/>
        </w:rPr>
        <w:t>1．“土地者，民之本也。”党的十八大以来，我国农村土地制度改革不断深化，统筹推进了“三块地”的改革。</w:t>
      </w:r>
    </w:p>
    <w:p w14:paraId="547C0727">
      <w:pPr>
        <w:shd w:val="clear" w:color="auto" w:fill="auto"/>
        <w:spacing w:line="360" w:lineRule="auto"/>
        <w:jc w:val="both"/>
        <w:textAlignment w:val="center"/>
        <w:rPr>
          <w:sz w:val="21"/>
        </w:rPr>
      </w:pPr>
      <w:r>
        <w:rPr>
          <w:rFonts w:ascii="Times New Roman" w:hAnsi="Times New Roman" w:eastAsia="Times New Roman" w:cs="Times New Roman"/>
          <w:strike w:val="0"/>
          <w:kern w:val="0"/>
          <w:sz w:val="24"/>
          <w:szCs w:val="24"/>
          <w:u w:val="none"/>
        </w:rPr>
        <w:drawing>
          <wp:inline distT="0" distB="0" distL="114300" distR="114300">
            <wp:extent cx="5276215" cy="1678305"/>
            <wp:effectExtent l="0" t="0" r="635" b="17145"/>
            <wp:docPr id="100003" name="图片 100003" descr="@@@db24711deee54f609e63f822a3ec9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db24711deee54f609e63f822a3ec9931"/>
                    <pic:cNvPicPr>
                      <a:picLocks noChangeAspect="1"/>
                    </pic:cNvPicPr>
                  </pic:nvPicPr>
                  <pic:blipFill>
                    <a:blip r:embed="rId7"/>
                    <a:stretch>
                      <a:fillRect/>
                    </a:stretch>
                  </pic:blipFill>
                  <pic:spPr>
                    <a:xfrm>
                      <a:off x="0" y="0"/>
                      <a:ext cx="5276800" cy="1678560"/>
                    </a:xfrm>
                    <a:prstGeom prst="rect">
                      <a:avLst/>
                    </a:prstGeom>
                  </pic:spPr>
                </pic:pic>
              </a:graphicData>
            </a:graphic>
          </wp:inline>
        </w:drawing>
      </w:r>
    </w:p>
    <w:p w14:paraId="6A818761">
      <w:pPr>
        <w:shd w:val="clear" w:color="auto" w:fill="auto"/>
        <w:spacing w:line="360" w:lineRule="auto"/>
        <w:jc w:val="left"/>
        <w:textAlignment w:val="center"/>
        <w:rPr>
          <w:sz w:val="21"/>
        </w:rPr>
      </w:pPr>
      <w:r>
        <w:rPr>
          <w:sz w:val="21"/>
        </w:rPr>
        <w:t>上述改革举措（</w:t>
      </w:r>
      <w:r>
        <w:rPr>
          <w:rFonts w:ascii="Times New Roman" w:hAnsi="Times New Roman" w:eastAsia="Times New Roman" w:cs="Times New Roman"/>
          <w:kern w:val="0"/>
          <w:sz w:val="24"/>
          <w:szCs w:val="24"/>
        </w:rPr>
        <w:t>   </w:t>
      </w:r>
      <w:r>
        <w:rPr>
          <w:sz w:val="21"/>
        </w:rPr>
        <w:t>）</w:t>
      </w:r>
    </w:p>
    <w:p w14:paraId="750A75FA">
      <w:pPr>
        <w:shd w:val="clear" w:color="auto" w:fill="auto"/>
        <w:spacing w:line="360" w:lineRule="auto"/>
        <w:jc w:val="left"/>
        <w:textAlignment w:val="center"/>
        <w:rPr>
          <w:sz w:val="21"/>
        </w:rPr>
      </w:pPr>
      <w:r>
        <w:rPr>
          <w:sz w:val="21"/>
        </w:rPr>
        <w:t>①通过不断完善上层建筑，使农村土地资源进一步得到理顺和盘活</w:t>
      </w:r>
    </w:p>
    <w:p w14:paraId="1DD340F8">
      <w:pPr>
        <w:shd w:val="clear" w:color="auto" w:fill="auto"/>
        <w:spacing w:line="360" w:lineRule="auto"/>
        <w:jc w:val="left"/>
        <w:textAlignment w:val="center"/>
        <w:rPr>
          <w:sz w:val="21"/>
        </w:rPr>
      </w:pPr>
      <w:r>
        <w:rPr>
          <w:sz w:val="21"/>
        </w:rPr>
        <w:t>②利于保障农民依法对集体所有的土地享有占有、使用和收益的权利</w:t>
      </w:r>
    </w:p>
    <w:p w14:paraId="5D86FFDA">
      <w:pPr>
        <w:shd w:val="clear" w:color="auto" w:fill="auto"/>
        <w:spacing w:line="360" w:lineRule="auto"/>
        <w:jc w:val="left"/>
        <w:textAlignment w:val="center"/>
        <w:rPr>
          <w:sz w:val="21"/>
        </w:rPr>
      </w:pPr>
      <w:r>
        <w:rPr>
          <w:sz w:val="21"/>
        </w:rPr>
        <w:t>③可以有效地增加农民的经营性收入，实现乡村振兴和共同富裕</w:t>
      </w:r>
    </w:p>
    <w:p w14:paraId="74140BAD">
      <w:pPr>
        <w:shd w:val="clear" w:color="auto" w:fill="auto"/>
        <w:spacing w:line="360" w:lineRule="auto"/>
        <w:jc w:val="left"/>
        <w:textAlignment w:val="center"/>
        <w:rPr>
          <w:sz w:val="21"/>
        </w:rPr>
      </w:pPr>
      <w:r>
        <w:rPr>
          <w:sz w:val="21"/>
        </w:rPr>
        <w:t>④积极探索土地权益更加丰富的实现形式，让农民分享改革红利</w:t>
      </w:r>
    </w:p>
    <w:p w14:paraId="7EC7121E">
      <w:pPr>
        <w:shd w:val="clear" w:color="auto" w:fill="auto"/>
        <w:tabs>
          <w:tab w:val="left" w:pos="2078"/>
          <w:tab w:val="left" w:pos="4156"/>
          <w:tab w:val="left" w:pos="6234"/>
        </w:tabs>
        <w:spacing w:line="360" w:lineRule="auto"/>
        <w:ind w:left="300"/>
        <w:jc w:val="left"/>
        <w:textAlignment w:val="center"/>
        <w:rPr>
          <w:sz w:val="21"/>
        </w:rPr>
      </w:pPr>
      <w:r>
        <w:rPr>
          <w:sz w:val="21"/>
        </w:rPr>
        <w:t>A．①②</w:t>
      </w:r>
      <w:r>
        <w:rPr>
          <w:sz w:val="21"/>
        </w:rPr>
        <w:tab/>
      </w:r>
      <w:r>
        <w:rPr>
          <w:sz w:val="21"/>
        </w:rPr>
        <w:t>B．①③</w:t>
      </w:r>
      <w:r>
        <w:rPr>
          <w:sz w:val="21"/>
        </w:rPr>
        <w:tab/>
      </w:r>
      <w:r>
        <w:rPr>
          <w:sz w:val="21"/>
        </w:rPr>
        <w:t>C．②④</w:t>
      </w:r>
      <w:r>
        <w:rPr>
          <w:sz w:val="21"/>
        </w:rPr>
        <w:tab/>
      </w:r>
      <w:r>
        <w:rPr>
          <w:sz w:val="21"/>
        </w:rPr>
        <w:t>D．③④</w:t>
      </w:r>
    </w:p>
    <w:p w14:paraId="71677E98">
      <w:pPr>
        <w:shd w:val="clear" w:color="auto" w:fill="auto"/>
        <w:spacing w:line="360" w:lineRule="auto"/>
        <w:jc w:val="left"/>
        <w:textAlignment w:val="center"/>
        <w:rPr>
          <w:sz w:val="21"/>
        </w:rPr>
      </w:pPr>
      <w:r>
        <w:rPr>
          <w:sz w:val="21"/>
        </w:rPr>
        <w:t>2．2025年1月20日，山东省政府工作报告指出，山东将抓住制造业领域外资准入限制措施“清零”和电信、医疗、教育、文化等服务业开放机遇，用好利润再投资、跨国股权并购等引资方式，用心解决外资企业遇到的实际问题，全力维护市场化、法治化、国际化一流环境和形象。下列传导正确的是（</w:t>
      </w:r>
      <w:r>
        <w:rPr>
          <w:rFonts w:ascii="Times New Roman" w:hAnsi="Times New Roman" w:eastAsia="Times New Roman" w:cs="Times New Roman"/>
          <w:kern w:val="0"/>
          <w:sz w:val="24"/>
          <w:szCs w:val="24"/>
        </w:rPr>
        <w:t>   </w:t>
      </w:r>
      <w:r>
        <w:rPr>
          <w:sz w:val="21"/>
        </w:rPr>
        <w:t>）</w:t>
      </w:r>
    </w:p>
    <w:p w14:paraId="3EF5AB0A">
      <w:pPr>
        <w:shd w:val="clear" w:color="auto" w:fill="auto"/>
        <w:spacing w:line="360" w:lineRule="auto"/>
        <w:jc w:val="left"/>
        <w:textAlignment w:val="center"/>
        <w:rPr>
          <w:sz w:val="21"/>
        </w:rPr>
      </w:pPr>
      <w:r>
        <w:rPr>
          <w:sz w:val="21"/>
        </w:rPr>
        <w:t>①外资准入限制措施“清零”→降低外资入市门槛→降低外商投资风险</w:t>
      </w:r>
    </w:p>
    <w:p w14:paraId="542FADD2">
      <w:pPr>
        <w:shd w:val="clear" w:color="auto" w:fill="auto"/>
        <w:spacing w:line="360" w:lineRule="auto"/>
        <w:jc w:val="left"/>
        <w:textAlignment w:val="center"/>
        <w:rPr>
          <w:sz w:val="21"/>
        </w:rPr>
      </w:pPr>
      <w:r>
        <w:rPr>
          <w:sz w:val="21"/>
        </w:rPr>
        <w:t>②抓住服务业开放机遇→激发服务市场活力→更好满足人民美好生活需要</w:t>
      </w:r>
    </w:p>
    <w:p w14:paraId="43CF13F1">
      <w:pPr>
        <w:shd w:val="clear" w:color="auto" w:fill="auto"/>
        <w:spacing w:line="360" w:lineRule="auto"/>
        <w:jc w:val="left"/>
        <w:textAlignment w:val="center"/>
        <w:rPr>
          <w:sz w:val="21"/>
        </w:rPr>
      </w:pPr>
      <w:r>
        <w:rPr>
          <w:sz w:val="21"/>
        </w:rPr>
        <w:t>③用好跨国股权并购的引资方式→推进高水平对外开放→促进国内国际联动共赢</w:t>
      </w:r>
    </w:p>
    <w:p w14:paraId="16428D7D">
      <w:pPr>
        <w:shd w:val="clear" w:color="auto" w:fill="auto"/>
        <w:spacing w:line="360" w:lineRule="auto"/>
        <w:jc w:val="left"/>
        <w:textAlignment w:val="center"/>
        <w:rPr>
          <w:sz w:val="21"/>
        </w:rPr>
      </w:pPr>
      <w:r>
        <w:rPr>
          <w:sz w:val="21"/>
        </w:rPr>
        <w:t>④全力维护一流环境和形象→完善社会主义市场经济体制→建立健全各类市场</w:t>
      </w:r>
    </w:p>
    <w:p w14:paraId="02943479">
      <w:pPr>
        <w:shd w:val="clear" w:color="auto" w:fill="auto"/>
        <w:tabs>
          <w:tab w:val="left" w:pos="2078"/>
          <w:tab w:val="left" w:pos="4156"/>
          <w:tab w:val="left" w:pos="6234"/>
        </w:tabs>
        <w:spacing w:line="360" w:lineRule="auto"/>
        <w:ind w:left="300"/>
        <w:jc w:val="left"/>
        <w:textAlignment w:val="center"/>
        <w:rPr>
          <w:sz w:val="21"/>
        </w:rPr>
      </w:pPr>
      <w:r>
        <w:rPr>
          <w:sz w:val="21"/>
        </w:rPr>
        <w:t>A．①②</w:t>
      </w:r>
      <w:r>
        <w:rPr>
          <w:sz w:val="21"/>
        </w:rPr>
        <w:tab/>
      </w:r>
      <w:r>
        <w:rPr>
          <w:sz w:val="21"/>
        </w:rPr>
        <w:t>B．①④</w:t>
      </w:r>
      <w:r>
        <w:rPr>
          <w:sz w:val="21"/>
        </w:rPr>
        <w:tab/>
      </w:r>
      <w:r>
        <w:rPr>
          <w:sz w:val="21"/>
        </w:rPr>
        <w:t>C．②③</w:t>
      </w:r>
      <w:r>
        <w:rPr>
          <w:sz w:val="21"/>
        </w:rPr>
        <w:tab/>
      </w:r>
      <w:r>
        <w:rPr>
          <w:sz w:val="21"/>
        </w:rPr>
        <w:t>D．③④</w:t>
      </w:r>
    </w:p>
    <w:p w14:paraId="2CB58219">
      <w:pPr>
        <w:shd w:val="clear" w:color="auto" w:fill="auto"/>
        <w:spacing w:line="360" w:lineRule="auto"/>
        <w:jc w:val="left"/>
        <w:textAlignment w:val="center"/>
        <w:rPr>
          <w:sz w:val="21"/>
        </w:rPr>
      </w:pPr>
      <w:r>
        <w:rPr>
          <w:sz w:val="21"/>
        </w:rPr>
        <w:t>3．收入和消费是基本民生，历来受到国家和社会的广泛关注。依据下图数据，可以推断出（</w:t>
      </w:r>
      <w:r>
        <w:rPr>
          <w:rFonts w:ascii="Times New Roman" w:hAnsi="Times New Roman" w:eastAsia="Times New Roman" w:cs="Times New Roman"/>
          <w:kern w:val="0"/>
          <w:sz w:val="24"/>
          <w:szCs w:val="24"/>
        </w:rPr>
        <w:t>   </w:t>
      </w:r>
      <w:r>
        <w:rPr>
          <w:sz w:val="21"/>
        </w:rPr>
        <w:t>）</w:t>
      </w:r>
    </w:p>
    <w:p w14:paraId="7736BE67">
      <w:pPr>
        <w:shd w:val="clear" w:color="auto" w:fill="auto"/>
        <w:spacing w:line="360" w:lineRule="auto"/>
        <w:jc w:val="both"/>
        <w:textAlignment w:val="center"/>
        <w:rPr>
          <w:sz w:val="21"/>
        </w:rPr>
      </w:pPr>
      <w:r>
        <w:rPr>
          <w:rFonts w:ascii="Times New Roman" w:hAnsi="Times New Roman" w:eastAsia="Times New Roman" w:cs="Times New Roman"/>
          <w:strike w:val="0"/>
          <w:kern w:val="0"/>
          <w:sz w:val="24"/>
          <w:szCs w:val="24"/>
          <w:u w:val="none"/>
        </w:rPr>
        <w:drawing>
          <wp:inline distT="0" distB="0" distL="114300" distR="114300">
            <wp:extent cx="4457700" cy="3133725"/>
            <wp:effectExtent l="0" t="0" r="0" b="0"/>
            <wp:docPr id="100005" name="图片 100005" descr="@@@5d83ecac-980a-4035-82e4-054bc85c5f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5d83ecac-980a-4035-82e4-054bc85c5f79"/>
                    <pic:cNvPicPr>
                      <a:picLocks noChangeAspect="1"/>
                    </pic:cNvPicPr>
                  </pic:nvPicPr>
                  <pic:blipFill>
                    <a:blip r:embed="rId8"/>
                    <a:stretch>
                      <a:fillRect/>
                    </a:stretch>
                  </pic:blipFill>
                  <pic:spPr>
                    <a:xfrm>
                      <a:off x="0" y="0"/>
                      <a:ext cx="4457700" cy="3133725"/>
                    </a:xfrm>
                    <a:prstGeom prst="rect">
                      <a:avLst/>
                    </a:prstGeom>
                  </pic:spPr>
                </pic:pic>
              </a:graphicData>
            </a:graphic>
          </wp:inline>
        </w:drawing>
      </w:r>
    </w:p>
    <w:p w14:paraId="0791D541">
      <w:pPr>
        <w:shd w:val="clear" w:color="auto" w:fill="auto"/>
        <w:spacing w:line="360" w:lineRule="auto"/>
        <w:jc w:val="left"/>
        <w:textAlignment w:val="center"/>
        <w:rPr>
          <w:sz w:val="21"/>
        </w:rPr>
      </w:pPr>
      <w:r>
        <w:rPr>
          <w:sz w:val="21"/>
        </w:rPr>
        <w:t>①城乡居民人均可支配收入增长为扩大内需促进消费奠定了坚实的基础</w:t>
      </w:r>
    </w:p>
    <w:p w14:paraId="5A3182CF">
      <w:pPr>
        <w:shd w:val="clear" w:color="auto" w:fill="auto"/>
        <w:spacing w:line="360" w:lineRule="auto"/>
        <w:jc w:val="left"/>
        <w:textAlignment w:val="center"/>
        <w:rPr>
          <w:sz w:val="21"/>
        </w:rPr>
      </w:pPr>
      <w:r>
        <w:rPr>
          <w:sz w:val="21"/>
        </w:rPr>
        <w:t>②社会消费品零售总额增速与城镇和农村居民可支配收入增长同步</w:t>
      </w:r>
    </w:p>
    <w:p w14:paraId="1CC3E8D1">
      <w:pPr>
        <w:shd w:val="clear" w:color="auto" w:fill="auto"/>
        <w:spacing w:line="360" w:lineRule="auto"/>
        <w:jc w:val="left"/>
        <w:textAlignment w:val="center"/>
        <w:rPr>
          <w:sz w:val="21"/>
        </w:rPr>
      </w:pPr>
      <w:r>
        <w:rPr>
          <w:sz w:val="21"/>
        </w:rPr>
        <w:t>③社会消费品零售总额增速与城乡居民人均可支配收入增速正相关</w:t>
      </w:r>
    </w:p>
    <w:p w14:paraId="1E14060E">
      <w:pPr>
        <w:shd w:val="clear" w:color="auto" w:fill="auto"/>
        <w:spacing w:line="360" w:lineRule="auto"/>
        <w:jc w:val="left"/>
        <w:textAlignment w:val="center"/>
        <w:rPr>
          <w:sz w:val="21"/>
        </w:rPr>
      </w:pPr>
      <w:r>
        <w:rPr>
          <w:sz w:val="21"/>
        </w:rPr>
        <w:t>④城乡居民收入差距缩小意味着收入分配更趋公平，消费结构持续优化</w:t>
      </w:r>
    </w:p>
    <w:p w14:paraId="770569E4">
      <w:pPr>
        <w:shd w:val="clear" w:color="auto" w:fill="auto"/>
        <w:tabs>
          <w:tab w:val="left" w:pos="2078"/>
          <w:tab w:val="left" w:pos="4156"/>
          <w:tab w:val="left" w:pos="6234"/>
        </w:tabs>
        <w:spacing w:line="360" w:lineRule="auto"/>
        <w:ind w:left="300"/>
        <w:jc w:val="left"/>
        <w:textAlignment w:val="center"/>
        <w:rPr>
          <w:sz w:val="21"/>
        </w:rPr>
      </w:pPr>
      <w:r>
        <w:rPr>
          <w:sz w:val="21"/>
        </w:rPr>
        <w:t>A．①②</w:t>
      </w:r>
      <w:r>
        <w:rPr>
          <w:sz w:val="21"/>
        </w:rPr>
        <w:tab/>
      </w:r>
      <w:r>
        <w:rPr>
          <w:sz w:val="21"/>
        </w:rPr>
        <w:t>B．①③</w:t>
      </w:r>
      <w:r>
        <w:rPr>
          <w:sz w:val="21"/>
        </w:rPr>
        <w:tab/>
      </w:r>
      <w:r>
        <w:rPr>
          <w:sz w:val="21"/>
        </w:rPr>
        <w:t>C．②④</w:t>
      </w:r>
      <w:r>
        <w:rPr>
          <w:sz w:val="21"/>
        </w:rPr>
        <w:tab/>
      </w:r>
      <w:r>
        <w:rPr>
          <w:sz w:val="21"/>
        </w:rPr>
        <w:t>D．③④</w:t>
      </w:r>
    </w:p>
    <w:p w14:paraId="04E39E17">
      <w:pPr>
        <w:shd w:val="clear" w:color="auto" w:fill="auto"/>
        <w:spacing w:line="360" w:lineRule="auto"/>
        <w:jc w:val="left"/>
        <w:textAlignment w:val="center"/>
        <w:rPr>
          <w:sz w:val="21"/>
        </w:rPr>
      </w:pPr>
      <w:r>
        <w:rPr>
          <w:sz w:val="21"/>
        </w:rPr>
        <w:t>4．某地方媒体拟综合报道以下法治建设新举措：</w:t>
      </w:r>
    </w:p>
    <w:tbl>
      <w:tblPr>
        <w:tblStyle w:val="2"/>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193"/>
        <w:gridCol w:w="4132"/>
      </w:tblGrid>
      <w:tr w14:paraId="7D91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41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7629DCE">
            <w:pPr>
              <w:shd w:val="clear" w:color="auto" w:fill="auto"/>
              <w:spacing w:line="360" w:lineRule="auto"/>
              <w:jc w:val="left"/>
              <w:textAlignment w:val="center"/>
              <w:rPr>
                <w:sz w:val="21"/>
              </w:rPr>
            </w:pPr>
            <w:r>
              <w:rPr>
                <w:sz w:val="21"/>
              </w:rPr>
              <w:t>某县人民检察院干警用轻松的“话聊”方式，以“把爱带回家，同心护成长”为主题化身为“法治故事大王”，精心挑选出真实发生的校园小故事，提醒孩子在校园里玩耍时需要留意的安全隐患。</w:t>
            </w:r>
          </w:p>
        </w:tc>
        <w:tc>
          <w:tcPr>
            <w:tcW w:w="41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684C57F">
            <w:pPr>
              <w:shd w:val="clear" w:color="auto" w:fill="auto"/>
              <w:spacing w:line="360" w:lineRule="auto"/>
              <w:jc w:val="left"/>
              <w:textAlignment w:val="center"/>
              <w:rPr>
                <w:sz w:val="21"/>
              </w:rPr>
            </w:pPr>
            <w:r>
              <w:rPr>
                <w:sz w:val="21"/>
              </w:rPr>
              <w:t>某司法所针对不同小区和自然村的法治需求确定普法重点内容和方式，群众可根据自身需求打电话“下单”预约普法讲座，法律顾问“接单”后上门精准提供“一对一”“点对点”的法律服务。</w:t>
            </w:r>
          </w:p>
        </w:tc>
      </w:tr>
    </w:tbl>
    <w:p w14:paraId="1B2CADEA">
      <w:pPr>
        <w:shd w:val="clear" w:color="auto" w:fill="auto"/>
        <w:spacing w:line="360" w:lineRule="auto"/>
        <w:jc w:val="left"/>
        <w:textAlignment w:val="center"/>
        <w:rPr>
          <w:sz w:val="21"/>
        </w:rPr>
      </w:pPr>
      <w:r>
        <w:rPr>
          <w:sz w:val="21"/>
        </w:rPr>
        <w:t>下列最适合作为该报道标题的是（</w:t>
      </w:r>
      <w:r>
        <w:rPr>
          <w:rFonts w:ascii="Times New Roman" w:hAnsi="Times New Roman" w:eastAsia="Times New Roman" w:cs="Times New Roman"/>
          <w:kern w:val="0"/>
          <w:sz w:val="24"/>
          <w:szCs w:val="24"/>
        </w:rPr>
        <w:t>   </w:t>
      </w:r>
      <w:r>
        <w:rPr>
          <w:sz w:val="21"/>
        </w:rPr>
        <w:t>）</w:t>
      </w:r>
    </w:p>
    <w:p w14:paraId="45DE94AD">
      <w:pPr>
        <w:shd w:val="clear" w:color="auto" w:fill="auto"/>
        <w:tabs>
          <w:tab w:val="left" w:pos="4156"/>
        </w:tabs>
        <w:spacing w:line="360" w:lineRule="auto"/>
        <w:ind w:left="300"/>
        <w:jc w:val="left"/>
        <w:textAlignment w:val="center"/>
        <w:rPr>
          <w:sz w:val="21"/>
        </w:rPr>
      </w:pPr>
      <w:r>
        <w:rPr>
          <w:sz w:val="21"/>
        </w:rPr>
        <w:t>A．强化部门协作，提升普法效果</w:t>
      </w:r>
      <w:r>
        <w:rPr>
          <w:sz w:val="21"/>
        </w:rPr>
        <w:tab/>
      </w:r>
      <w:r>
        <w:rPr>
          <w:sz w:val="21"/>
        </w:rPr>
        <w:t>B．创新普法形式，深化法治实践</w:t>
      </w:r>
    </w:p>
    <w:p w14:paraId="376AEA28">
      <w:pPr>
        <w:shd w:val="clear" w:color="auto" w:fill="auto"/>
        <w:tabs>
          <w:tab w:val="left" w:pos="4156"/>
        </w:tabs>
        <w:spacing w:line="360" w:lineRule="auto"/>
        <w:ind w:left="300"/>
        <w:jc w:val="left"/>
        <w:textAlignment w:val="center"/>
        <w:rPr>
          <w:sz w:val="21"/>
        </w:rPr>
      </w:pPr>
      <w:r>
        <w:rPr>
          <w:sz w:val="21"/>
        </w:rPr>
        <w:t>C．聚焦校园安全，保障学生权益</w:t>
      </w:r>
      <w:r>
        <w:rPr>
          <w:sz w:val="21"/>
        </w:rPr>
        <w:tab/>
      </w:r>
      <w:r>
        <w:rPr>
          <w:sz w:val="21"/>
        </w:rPr>
        <w:t>D．完善法律服务，助力乡村振兴</w:t>
      </w:r>
    </w:p>
    <w:p w14:paraId="040F11AF">
      <w:pPr>
        <w:shd w:val="clear" w:color="auto" w:fill="auto"/>
        <w:spacing w:line="360" w:lineRule="auto"/>
        <w:jc w:val="left"/>
        <w:textAlignment w:val="center"/>
        <w:rPr>
          <w:sz w:val="21"/>
        </w:rPr>
      </w:pPr>
      <w:r>
        <w:rPr>
          <w:sz w:val="21"/>
        </w:rPr>
        <w:t>5．2025年1月7日，西藏定日县发生6.8级地震后，习近平作出重要指示，强调全力开展人员搜救，妥善安置受灾群众，确保安全温暖过冬。随后，受灾县各基层党组织成立了1150支党员先锋队，带领群众有序自救。各地应急救援、消防、公安、部队官兵以及社会力量赶赴现场，各类救灾物资源源不断补给，受灾群众得以妥善安置，基本生活得以保障。抗震救灾成效的取得，得益于（</w:t>
      </w:r>
      <w:r>
        <w:rPr>
          <w:rFonts w:ascii="Times New Roman" w:hAnsi="Times New Roman" w:eastAsia="Times New Roman" w:cs="Times New Roman"/>
          <w:kern w:val="0"/>
          <w:sz w:val="24"/>
          <w:szCs w:val="24"/>
        </w:rPr>
        <w:t>   </w:t>
      </w:r>
      <w:r>
        <w:rPr>
          <w:sz w:val="21"/>
        </w:rPr>
        <w:t>）</w:t>
      </w:r>
    </w:p>
    <w:p w14:paraId="2D35CB61">
      <w:pPr>
        <w:shd w:val="clear" w:color="auto" w:fill="auto"/>
        <w:spacing w:line="360" w:lineRule="auto"/>
        <w:jc w:val="left"/>
        <w:textAlignment w:val="center"/>
        <w:rPr>
          <w:sz w:val="21"/>
        </w:rPr>
      </w:pPr>
      <w:r>
        <w:rPr>
          <w:sz w:val="21"/>
        </w:rPr>
        <w:t>①受灾地区和有关部门牢固树立责任意识，发挥先锋模范作用</w:t>
      </w:r>
    </w:p>
    <w:p w14:paraId="20AE1C59">
      <w:pPr>
        <w:shd w:val="clear" w:color="auto" w:fill="auto"/>
        <w:spacing w:line="360" w:lineRule="auto"/>
        <w:jc w:val="left"/>
        <w:textAlignment w:val="center"/>
        <w:rPr>
          <w:sz w:val="21"/>
        </w:rPr>
      </w:pPr>
      <w:r>
        <w:rPr>
          <w:sz w:val="21"/>
        </w:rPr>
        <w:t>②党和国家依靠上下贯通的组织体系，履行维护国家稳定的职能</w:t>
      </w:r>
    </w:p>
    <w:p w14:paraId="42F422D9">
      <w:pPr>
        <w:shd w:val="clear" w:color="auto" w:fill="auto"/>
        <w:spacing w:line="360" w:lineRule="auto"/>
        <w:jc w:val="left"/>
        <w:textAlignment w:val="center"/>
        <w:rPr>
          <w:sz w:val="21"/>
        </w:rPr>
      </w:pPr>
      <w:r>
        <w:rPr>
          <w:sz w:val="21"/>
        </w:rPr>
        <w:t>③党将政治优势、制度优势和密切联系群众优势转化为工作优势</w:t>
      </w:r>
    </w:p>
    <w:p w14:paraId="59018043">
      <w:pPr>
        <w:shd w:val="clear" w:color="auto" w:fill="auto"/>
        <w:spacing w:line="360" w:lineRule="auto"/>
        <w:jc w:val="left"/>
        <w:textAlignment w:val="center"/>
        <w:rPr>
          <w:sz w:val="21"/>
        </w:rPr>
      </w:pPr>
      <w:r>
        <w:rPr>
          <w:sz w:val="21"/>
        </w:rPr>
        <w:t>④贯彻落实习近平新时代中国特色社会主义思想，坚持人民至上</w:t>
      </w:r>
    </w:p>
    <w:p w14:paraId="43CE05A5">
      <w:pPr>
        <w:shd w:val="clear" w:color="auto" w:fill="auto"/>
        <w:tabs>
          <w:tab w:val="left" w:pos="2078"/>
          <w:tab w:val="left" w:pos="4156"/>
          <w:tab w:val="left" w:pos="6234"/>
        </w:tabs>
        <w:spacing w:line="360" w:lineRule="auto"/>
        <w:ind w:left="300"/>
        <w:jc w:val="left"/>
        <w:textAlignment w:val="center"/>
        <w:rPr>
          <w:sz w:val="21"/>
        </w:rPr>
      </w:pPr>
      <w:r>
        <w:rPr>
          <w:sz w:val="21"/>
        </w:rPr>
        <w:t>A．①②</w:t>
      </w:r>
      <w:r>
        <w:rPr>
          <w:sz w:val="21"/>
        </w:rPr>
        <w:tab/>
      </w:r>
      <w:r>
        <w:rPr>
          <w:sz w:val="21"/>
        </w:rPr>
        <w:t>B．①④</w:t>
      </w:r>
      <w:r>
        <w:rPr>
          <w:sz w:val="21"/>
        </w:rPr>
        <w:tab/>
      </w:r>
      <w:r>
        <w:rPr>
          <w:sz w:val="21"/>
        </w:rPr>
        <w:t>C．②③</w:t>
      </w:r>
      <w:r>
        <w:rPr>
          <w:sz w:val="21"/>
        </w:rPr>
        <w:tab/>
      </w:r>
      <w:r>
        <w:rPr>
          <w:sz w:val="21"/>
        </w:rPr>
        <w:t>D．③④</w:t>
      </w:r>
    </w:p>
    <w:p w14:paraId="0A09E83E">
      <w:pPr>
        <w:shd w:val="clear" w:color="auto" w:fill="auto"/>
        <w:spacing w:line="360" w:lineRule="auto"/>
        <w:jc w:val="left"/>
        <w:textAlignment w:val="center"/>
        <w:rPr>
          <w:sz w:val="21"/>
        </w:rPr>
      </w:pPr>
      <w:r>
        <w:rPr>
          <w:sz w:val="21"/>
        </w:rPr>
        <w:t>6．2024年8月3日，为了更好满足人民群众个性化、多样化、品质化服务消费需求，国务院出台《关于促进服务消费高质量发展的意见》，提出：挖掘基础型消费潜力，激发改善型消费活力，培育壮大新型消费……对此,下列认识正确的是（</w:t>
      </w:r>
      <w:r>
        <w:rPr>
          <w:rFonts w:ascii="Times New Roman" w:hAnsi="Times New Roman" w:eastAsia="Times New Roman" w:cs="Times New Roman"/>
          <w:kern w:val="0"/>
          <w:sz w:val="24"/>
          <w:szCs w:val="24"/>
        </w:rPr>
        <w:t>   </w:t>
      </w:r>
      <w:r>
        <w:rPr>
          <w:sz w:val="21"/>
        </w:rPr>
        <w:t>）</w:t>
      </w:r>
    </w:p>
    <w:p w14:paraId="128AFAAA">
      <w:pPr>
        <w:shd w:val="clear" w:color="auto" w:fill="auto"/>
        <w:spacing w:line="360" w:lineRule="auto"/>
        <w:jc w:val="left"/>
        <w:textAlignment w:val="center"/>
        <w:rPr>
          <w:sz w:val="21"/>
        </w:rPr>
      </w:pPr>
      <w:r>
        <w:rPr>
          <w:sz w:val="21"/>
        </w:rPr>
        <w:t>①人民群众的根本利益是《意见》出台的重要依据</w:t>
      </w:r>
    </w:p>
    <w:p w14:paraId="51AF879E">
      <w:pPr>
        <w:shd w:val="clear" w:color="auto" w:fill="auto"/>
        <w:spacing w:line="360" w:lineRule="auto"/>
        <w:jc w:val="left"/>
        <w:textAlignment w:val="center"/>
        <w:rPr>
          <w:sz w:val="21"/>
        </w:rPr>
      </w:pPr>
      <w:r>
        <w:rPr>
          <w:sz w:val="21"/>
        </w:rPr>
        <w:t>②社会意识具有相对独立性，对我国社会发展起推动作用</w:t>
      </w:r>
    </w:p>
    <w:p w14:paraId="7E9A467F">
      <w:pPr>
        <w:shd w:val="clear" w:color="auto" w:fill="auto"/>
        <w:spacing w:line="360" w:lineRule="auto"/>
        <w:jc w:val="left"/>
        <w:textAlignment w:val="center"/>
        <w:rPr>
          <w:sz w:val="21"/>
        </w:rPr>
      </w:pPr>
      <w:r>
        <w:rPr>
          <w:sz w:val="21"/>
        </w:rPr>
        <w:t>③承认矛盾的普遍性是促进服务消费高质量发展的关键</w:t>
      </w:r>
    </w:p>
    <w:p w14:paraId="376EE0BD">
      <w:pPr>
        <w:shd w:val="clear" w:color="auto" w:fill="auto"/>
        <w:spacing w:line="360" w:lineRule="auto"/>
        <w:jc w:val="left"/>
        <w:textAlignment w:val="center"/>
        <w:rPr>
          <w:sz w:val="21"/>
        </w:rPr>
      </w:pPr>
      <w:r>
        <w:rPr>
          <w:sz w:val="21"/>
        </w:rPr>
        <w:t>④我国顺应经济社会条件的变化，坚持了价值选择与时俱进</w:t>
      </w:r>
    </w:p>
    <w:p w14:paraId="68D655C7">
      <w:pPr>
        <w:shd w:val="clear" w:color="auto" w:fill="auto"/>
        <w:tabs>
          <w:tab w:val="left" w:pos="2078"/>
          <w:tab w:val="left" w:pos="4156"/>
          <w:tab w:val="left" w:pos="6234"/>
        </w:tabs>
        <w:spacing w:line="360" w:lineRule="auto"/>
        <w:ind w:left="300"/>
        <w:jc w:val="left"/>
        <w:textAlignment w:val="center"/>
        <w:rPr>
          <w:sz w:val="21"/>
        </w:rPr>
      </w:pPr>
      <w:r>
        <w:rPr>
          <w:sz w:val="21"/>
        </w:rPr>
        <w:t>A．①②</w:t>
      </w:r>
      <w:r>
        <w:rPr>
          <w:sz w:val="21"/>
        </w:rPr>
        <w:tab/>
      </w:r>
      <w:r>
        <w:rPr>
          <w:sz w:val="21"/>
        </w:rPr>
        <w:t>B．①④</w:t>
      </w:r>
      <w:r>
        <w:rPr>
          <w:sz w:val="21"/>
        </w:rPr>
        <w:tab/>
      </w:r>
      <w:r>
        <w:rPr>
          <w:sz w:val="21"/>
        </w:rPr>
        <w:t>C．②③</w:t>
      </w:r>
      <w:r>
        <w:rPr>
          <w:sz w:val="21"/>
        </w:rPr>
        <w:tab/>
      </w:r>
      <w:r>
        <w:rPr>
          <w:sz w:val="21"/>
        </w:rPr>
        <w:t>D．③④</w:t>
      </w:r>
    </w:p>
    <w:p w14:paraId="1E945B93">
      <w:pPr>
        <w:shd w:val="clear" w:color="auto" w:fill="auto"/>
        <w:spacing w:line="360" w:lineRule="auto"/>
        <w:jc w:val="left"/>
        <w:textAlignment w:val="center"/>
        <w:rPr>
          <w:sz w:val="21"/>
        </w:rPr>
      </w:pPr>
      <w:r>
        <w:rPr>
          <w:sz w:val="21"/>
        </w:rPr>
        <w:t>7．荒漠化是人类面临的共同挑战。2024年12月，《联合国防治荒漠化公约》第十六次缔约方大会通过了39项决议文件，为未来全球应对土地退化和干旱擘画新蓝图，开启国际社会携手防治荒漠化新篇章。我国自1994年签署该公约以来，扎实开展防沙治沙国际合作，开拓“一带一路”防治荒漠化合作机制，与中亚、非洲国家分享治沙技术和经验，提供技能培训。材料表明（</w:t>
      </w:r>
      <w:r>
        <w:rPr>
          <w:rFonts w:ascii="Times New Roman" w:hAnsi="Times New Roman" w:eastAsia="Times New Roman" w:cs="Times New Roman"/>
          <w:kern w:val="0"/>
          <w:sz w:val="24"/>
          <w:szCs w:val="24"/>
        </w:rPr>
        <w:t>   </w:t>
      </w:r>
      <w:r>
        <w:rPr>
          <w:sz w:val="21"/>
        </w:rPr>
        <w:t>）</w:t>
      </w:r>
    </w:p>
    <w:p w14:paraId="6B791E48">
      <w:pPr>
        <w:shd w:val="clear" w:color="auto" w:fill="auto"/>
        <w:spacing w:line="360" w:lineRule="auto"/>
        <w:jc w:val="left"/>
        <w:textAlignment w:val="center"/>
        <w:rPr>
          <w:sz w:val="21"/>
        </w:rPr>
      </w:pPr>
      <w:r>
        <w:rPr>
          <w:sz w:val="21"/>
        </w:rPr>
        <w:t>①联合国作为应对挑战的平台，在荒漠化治理中发挥决定作用</w:t>
      </w:r>
    </w:p>
    <w:p w14:paraId="5A5B1898">
      <w:pPr>
        <w:shd w:val="clear" w:color="auto" w:fill="auto"/>
        <w:spacing w:line="360" w:lineRule="auto"/>
        <w:jc w:val="left"/>
        <w:textAlignment w:val="center"/>
        <w:rPr>
          <w:sz w:val="21"/>
        </w:rPr>
      </w:pPr>
      <w:r>
        <w:rPr>
          <w:sz w:val="21"/>
        </w:rPr>
        <w:t>②中国的合作与分享为全球南方共谋绿色发展注入动力</w:t>
      </w:r>
    </w:p>
    <w:p w14:paraId="352A5205">
      <w:pPr>
        <w:shd w:val="clear" w:color="auto" w:fill="auto"/>
        <w:spacing w:line="360" w:lineRule="auto"/>
        <w:jc w:val="left"/>
        <w:textAlignment w:val="center"/>
        <w:rPr>
          <w:sz w:val="21"/>
        </w:rPr>
      </w:pPr>
      <w:r>
        <w:rPr>
          <w:sz w:val="21"/>
        </w:rPr>
        <w:t>③缔约各方基于共同利益，深化荒漠化治理的交流合作</w:t>
      </w:r>
    </w:p>
    <w:p w14:paraId="2903D7AB">
      <w:pPr>
        <w:shd w:val="clear" w:color="auto" w:fill="auto"/>
        <w:spacing w:line="360" w:lineRule="auto"/>
        <w:jc w:val="left"/>
        <w:textAlignment w:val="center"/>
        <w:rPr>
          <w:sz w:val="21"/>
        </w:rPr>
      </w:pPr>
      <w:r>
        <w:rPr>
          <w:sz w:val="21"/>
        </w:rPr>
        <w:t>④中国积极开展公共外交，贡献了中国智慧和中国方案</w:t>
      </w:r>
    </w:p>
    <w:p w14:paraId="680AB86C">
      <w:pPr>
        <w:shd w:val="clear" w:color="auto" w:fill="auto"/>
        <w:tabs>
          <w:tab w:val="left" w:pos="2078"/>
          <w:tab w:val="left" w:pos="4156"/>
          <w:tab w:val="left" w:pos="6234"/>
        </w:tabs>
        <w:spacing w:line="360" w:lineRule="auto"/>
        <w:ind w:left="300"/>
        <w:jc w:val="left"/>
        <w:textAlignment w:val="center"/>
        <w:rPr>
          <w:sz w:val="21"/>
        </w:rPr>
      </w:pPr>
      <w:r>
        <w:rPr>
          <w:sz w:val="21"/>
        </w:rPr>
        <w:t>A．①③</w:t>
      </w:r>
      <w:r>
        <w:rPr>
          <w:sz w:val="21"/>
        </w:rPr>
        <w:tab/>
      </w:r>
      <w:r>
        <w:rPr>
          <w:sz w:val="21"/>
        </w:rPr>
        <w:t>B．①④</w:t>
      </w:r>
      <w:r>
        <w:rPr>
          <w:sz w:val="21"/>
        </w:rPr>
        <w:tab/>
      </w:r>
      <w:r>
        <w:rPr>
          <w:sz w:val="21"/>
        </w:rPr>
        <w:t>C．②③</w:t>
      </w:r>
      <w:r>
        <w:rPr>
          <w:sz w:val="21"/>
        </w:rPr>
        <w:tab/>
      </w:r>
      <w:r>
        <w:rPr>
          <w:sz w:val="21"/>
        </w:rPr>
        <w:t>D．②④</w:t>
      </w:r>
    </w:p>
    <w:p w14:paraId="581E7BF3">
      <w:pPr>
        <w:shd w:val="clear" w:color="auto" w:fill="auto"/>
        <w:spacing w:line="360" w:lineRule="auto"/>
        <w:jc w:val="left"/>
        <w:textAlignment w:val="center"/>
        <w:rPr>
          <w:sz w:val="21"/>
        </w:rPr>
      </w:pPr>
      <w:r>
        <w:rPr>
          <w:sz w:val="21"/>
        </w:rPr>
        <w:t>8．在开通公益地面波信号的地区，很多居民自制简易天线，甚至用一截几十厘米长的金属丝来免费收看多套电视节目。对此，甲分析说：铜丝是制作天线的材料，铁丝是制作天线的材料，所以铁丝是铜丝。乙分析说：铜丝能成为地面波电视天线，铁丝不是铜丝，所以铁丝不能成为地面波电视天线。据材料，下列说法正确的是（</w:t>
      </w:r>
      <w:r>
        <w:rPr>
          <w:rFonts w:ascii="Times New Roman" w:hAnsi="Times New Roman" w:eastAsia="Times New Roman" w:cs="Times New Roman"/>
          <w:kern w:val="0"/>
          <w:sz w:val="24"/>
          <w:szCs w:val="24"/>
        </w:rPr>
        <w:t>   </w:t>
      </w:r>
      <w:r>
        <w:rPr>
          <w:sz w:val="21"/>
        </w:rPr>
        <w:t>）</w:t>
      </w:r>
    </w:p>
    <w:p w14:paraId="16CF08AF">
      <w:pPr>
        <w:shd w:val="clear" w:color="auto" w:fill="auto"/>
        <w:spacing w:line="360" w:lineRule="auto"/>
        <w:jc w:val="left"/>
        <w:textAlignment w:val="center"/>
        <w:rPr>
          <w:sz w:val="21"/>
        </w:rPr>
      </w:pPr>
      <w:r>
        <w:rPr>
          <w:sz w:val="21"/>
        </w:rPr>
        <w:t>①中项“制作天线的材料”不周延，不符合演绎推理规则</w:t>
      </w:r>
    </w:p>
    <w:p w14:paraId="0E85DB78">
      <w:pPr>
        <w:shd w:val="clear" w:color="auto" w:fill="auto"/>
        <w:spacing w:line="360" w:lineRule="auto"/>
        <w:jc w:val="left"/>
        <w:textAlignment w:val="center"/>
        <w:rPr>
          <w:sz w:val="21"/>
        </w:rPr>
      </w:pPr>
      <w:r>
        <w:rPr>
          <w:sz w:val="21"/>
        </w:rPr>
        <w:t>②“铜丝是制作天线的材料”依据换位推理规则可得出“制作天线的材料是铜丝”</w:t>
      </w:r>
    </w:p>
    <w:p w14:paraId="48D5763B">
      <w:pPr>
        <w:shd w:val="clear" w:color="auto" w:fill="auto"/>
        <w:spacing w:line="360" w:lineRule="auto"/>
        <w:jc w:val="left"/>
        <w:textAlignment w:val="center"/>
        <w:rPr>
          <w:sz w:val="21"/>
        </w:rPr>
      </w:pPr>
      <w:r>
        <w:rPr>
          <w:sz w:val="21"/>
        </w:rPr>
        <w:t>③大项“地面波电视天线”因在前提中不周延在结论中周延而不当扩大</w:t>
      </w:r>
    </w:p>
    <w:p w14:paraId="081C7F32">
      <w:pPr>
        <w:shd w:val="clear" w:color="auto" w:fill="auto"/>
        <w:spacing w:line="360" w:lineRule="auto"/>
        <w:jc w:val="left"/>
        <w:textAlignment w:val="center"/>
        <w:rPr>
          <w:sz w:val="21"/>
        </w:rPr>
      </w:pPr>
      <w:r>
        <w:rPr>
          <w:sz w:val="21"/>
        </w:rPr>
        <w:t>④作为矛盾关系的铁丝、铜丝，与金属丝构成的是种属关系</w:t>
      </w:r>
    </w:p>
    <w:p w14:paraId="795C62C4">
      <w:pPr>
        <w:shd w:val="clear" w:color="auto" w:fill="auto"/>
        <w:tabs>
          <w:tab w:val="left" w:pos="2078"/>
          <w:tab w:val="left" w:pos="4156"/>
          <w:tab w:val="left" w:pos="6234"/>
        </w:tabs>
        <w:spacing w:line="360" w:lineRule="auto"/>
        <w:ind w:left="300"/>
        <w:jc w:val="left"/>
        <w:textAlignment w:val="center"/>
        <w:rPr>
          <w:sz w:val="21"/>
        </w:rPr>
      </w:pPr>
      <w:r>
        <w:rPr>
          <w:sz w:val="21"/>
        </w:rPr>
        <w:t>A．①②</w:t>
      </w:r>
      <w:r>
        <w:rPr>
          <w:sz w:val="21"/>
        </w:rPr>
        <w:tab/>
      </w:r>
      <w:r>
        <w:rPr>
          <w:sz w:val="21"/>
        </w:rPr>
        <w:t>B．①③</w:t>
      </w:r>
      <w:r>
        <w:rPr>
          <w:sz w:val="21"/>
        </w:rPr>
        <w:tab/>
      </w:r>
      <w:r>
        <w:rPr>
          <w:sz w:val="21"/>
        </w:rPr>
        <w:t>C．②④</w:t>
      </w:r>
      <w:r>
        <w:rPr>
          <w:sz w:val="21"/>
        </w:rPr>
        <w:tab/>
      </w:r>
      <w:r>
        <w:rPr>
          <w:sz w:val="21"/>
        </w:rPr>
        <w:t>D．③④</w:t>
      </w:r>
    </w:p>
    <w:p w14:paraId="341CA806">
      <w:pPr>
        <w:jc w:val="center"/>
        <w:textAlignment w:val="center"/>
        <w:rPr>
          <w:rFonts w:ascii="黑体" w:hAnsi="黑体" w:eastAsia="黑体" w:cs="黑体"/>
          <w:b/>
          <w:i w:val="0"/>
          <w:color w:val="000000"/>
          <w:sz w:val="30"/>
        </w:rPr>
      </w:pPr>
    </w:p>
    <w:p w14:paraId="4577A377">
      <w:pPr>
        <w:jc w:val="left"/>
        <w:textAlignment w:val="center"/>
        <w:rPr>
          <w:rFonts w:ascii="宋体" w:hAnsi="宋体" w:eastAsia="宋体" w:cs="宋体"/>
          <w:b/>
          <w:i w:val="0"/>
          <w:color w:val="000000"/>
          <w:sz w:val="21"/>
        </w:rPr>
      </w:pPr>
      <w:r>
        <w:rPr>
          <w:rFonts w:ascii="宋体" w:hAnsi="宋体" w:eastAsia="宋体" w:cs="宋体"/>
          <w:b/>
          <w:i w:val="0"/>
          <w:color w:val="000000"/>
          <w:sz w:val="21"/>
        </w:rPr>
        <w:t>二、主观题</w:t>
      </w:r>
    </w:p>
    <w:p w14:paraId="77FDDB91">
      <w:pPr>
        <w:shd w:val="clear" w:color="auto" w:fill="auto"/>
        <w:spacing w:line="360" w:lineRule="auto"/>
        <w:jc w:val="left"/>
        <w:textAlignment w:val="center"/>
        <w:rPr>
          <w:sz w:val="21"/>
        </w:rPr>
      </w:pPr>
      <w:r>
        <w:rPr>
          <w:sz w:val="21"/>
        </w:rPr>
        <w:t>9．阅读材料，完成下列要求。</w:t>
      </w:r>
    </w:p>
    <w:p w14:paraId="50E34448">
      <w:pPr>
        <w:shd w:val="clear" w:color="auto" w:fill="auto"/>
        <w:spacing w:line="360" w:lineRule="auto"/>
        <w:ind w:firstLine="560"/>
        <w:jc w:val="left"/>
        <w:textAlignment w:val="center"/>
        <w:rPr>
          <w:sz w:val="21"/>
        </w:rPr>
      </w:pPr>
      <w:r>
        <w:rPr>
          <w:rFonts w:ascii="楷体" w:hAnsi="楷体" w:eastAsia="楷体" w:cs="楷体"/>
          <w:sz w:val="21"/>
        </w:rPr>
        <w:t>提振消费是扩大内需、做大做强国内大循环的重中之重。</w:t>
      </w:r>
    </w:p>
    <w:p w14:paraId="3D4F2167">
      <w:pPr>
        <w:shd w:val="clear" w:color="auto" w:fill="auto"/>
        <w:spacing w:line="360" w:lineRule="auto"/>
        <w:ind w:firstLine="560"/>
        <w:jc w:val="left"/>
        <w:textAlignment w:val="center"/>
        <w:rPr>
          <w:sz w:val="21"/>
        </w:rPr>
      </w:pPr>
      <w:r>
        <w:rPr>
          <w:rFonts w:ascii="楷体" w:hAnsi="楷体" w:eastAsia="楷体" w:cs="楷体"/>
          <w:sz w:val="21"/>
        </w:rPr>
        <w:t>材料一</w:t>
      </w:r>
      <w:r>
        <w:rPr>
          <w:rFonts w:ascii="Times New Roman" w:hAnsi="Times New Roman" w:eastAsia="Times New Roman" w:cs="Times New Roman"/>
          <w:kern w:val="0"/>
          <w:sz w:val="24"/>
          <w:szCs w:val="24"/>
        </w:rPr>
        <w:t>  </w:t>
      </w:r>
      <w:r>
        <w:rPr>
          <w:rFonts w:ascii="楷体" w:hAnsi="楷体" w:eastAsia="楷体" w:cs="楷体"/>
          <w:sz w:val="21"/>
        </w:rPr>
        <w:t>2025年3月16日，中共中央办公厅、国务院办公厅发布《提振消费专项行动方案》。其中包含的内容有：</w:t>
      </w:r>
    </w:p>
    <w:tbl>
      <w:tblPr>
        <w:tblStyle w:val="2"/>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52"/>
        <w:gridCol w:w="7273"/>
      </w:tblGrid>
      <w:tr w14:paraId="7AD3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0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4F75544">
            <w:pPr>
              <w:shd w:val="clear" w:color="auto" w:fill="auto"/>
              <w:spacing w:line="360" w:lineRule="auto"/>
              <w:jc w:val="left"/>
              <w:textAlignment w:val="center"/>
              <w:rPr>
                <w:sz w:val="21"/>
              </w:rPr>
            </w:pPr>
            <w:r>
              <w:rPr>
                <w:rFonts w:ascii="楷体" w:hAnsi="楷体" w:eastAsia="楷体" w:cs="楷体"/>
                <w:sz w:val="21"/>
              </w:rPr>
              <w:t>聚焦消费能力提升</w:t>
            </w:r>
          </w:p>
        </w:tc>
        <w:tc>
          <w:tcPr>
            <w:tcW w:w="72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ABE255D">
            <w:pPr>
              <w:shd w:val="clear" w:color="auto" w:fill="auto"/>
              <w:spacing w:line="360" w:lineRule="auto"/>
              <w:jc w:val="left"/>
              <w:textAlignment w:val="center"/>
              <w:rPr>
                <w:sz w:val="21"/>
              </w:rPr>
            </w:pPr>
            <w:r>
              <w:rPr>
                <w:rFonts w:ascii="楷体" w:hAnsi="楷体" w:eastAsia="楷体" w:cs="楷体"/>
                <w:sz w:val="21"/>
              </w:rPr>
              <w:t>将“城乡居民增收促进行动”放在首位，部署促进工资性收入合理增长、拓宽财产性收入渠道、多措并举促进农民增收等多项工作；明确提高医疗养老保障能力，健全基本养老保险待遇合理调整机制……</w:t>
            </w:r>
          </w:p>
        </w:tc>
      </w:tr>
      <w:tr w14:paraId="72192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0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4B8C3F6">
            <w:pPr>
              <w:shd w:val="clear" w:color="auto" w:fill="auto"/>
              <w:spacing w:line="360" w:lineRule="auto"/>
              <w:jc w:val="left"/>
              <w:textAlignment w:val="center"/>
              <w:rPr>
                <w:sz w:val="21"/>
              </w:rPr>
            </w:pPr>
            <w:r>
              <w:rPr>
                <w:rFonts w:ascii="楷体" w:hAnsi="楷体" w:eastAsia="楷体" w:cs="楷体"/>
                <w:sz w:val="21"/>
              </w:rPr>
              <w:t>聚焦优质供给扩容</w:t>
            </w:r>
          </w:p>
        </w:tc>
        <w:tc>
          <w:tcPr>
            <w:tcW w:w="72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0E391C1">
            <w:pPr>
              <w:shd w:val="clear" w:color="auto" w:fill="auto"/>
              <w:spacing w:line="360" w:lineRule="auto"/>
              <w:jc w:val="left"/>
              <w:textAlignment w:val="center"/>
              <w:rPr>
                <w:sz w:val="21"/>
              </w:rPr>
            </w:pPr>
            <w:r>
              <w:rPr>
                <w:rFonts w:ascii="楷体" w:hAnsi="楷体" w:eastAsia="楷体" w:cs="楷体"/>
                <w:sz w:val="21"/>
              </w:rPr>
              <w:t>充分体现推动供给与消费有效匹配的政策思路。明确扩大电信、医疗、教育等领域开放试点，完善市场准入负面清单管理模式；积极发展抗衰老、银发旅游等产业，启动实施冰雪旅游提升计划；加快推动人工智能对消费全产业链的改造提升，促进“人工智能+消费”……</w:t>
            </w:r>
          </w:p>
        </w:tc>
      </w:tr>
      <w:tr w14:paraId="06F7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0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C9207BD">
            <w:pPr>
              <w:shd w:val="clear" w:color="auto" w:fill="auto"/>
              <w:spacing w:line="360" w:lineRule="auto"/>
              <w:jc w:val="left"/>
              <w:textAlignment w:val="center"/>
              <w:rPr>
                <w:sz w:val="21"/>
              </w:rPr>
            </w:pPr>
            <w:r>
              <w:rPr>
                <w:rFonts w:ascii="楷体" w:hAnsi="楷体" w:eastAsia="楷体" w:cs="楷体"/>
                <w:sz w:val="21"/>
              </w:rPr>
              <w:t>聚焦消费环境优化</w:t>
            </w:r>
          </w:p>
        </w:tc>
        <w:tc>
          <w:tcPr>
            <w:tcW w:w="72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3B10930">
            <w:pPr>
              <w:shd w:val="clear" w:color="auto" w:fill="auto"/>
              <w:spacing w:line="360" w:lineRule="auto"/>
              <w:jc w:val="left"/>
              <w:textAlignment w:val="center"/>
              <w:rPr>
                <w:sz w:val="21"/>
              </w:rPr>
            </w:pPr>
            <w:r>
              <w:rPr>
                <w:rFonts w:ascii="楷体" w:hAnsi="楷体" w:eastAsia="楷体" w:cs="楷体"/>
                <w:sz w:val="21"/>
              </w:rPr>
              <w:t>提出强化消费维权，专项整治食品非法添加、价格欺诈等乱象，让消费者“敢消费”；提出完善城乡消费设施，加强县级物流配送中心和乡村终端物流配送设施建设……</w:t>
            </w:r>
          </w:p>
        </w:tc>
      </w:tr>
    </w:tbl>
    <w:p w14:paraId="4E8B4D01">
      <w:pPr>
        <w:shd w:val="clear" w:color="auto" w:fill="auto"/>
        <w:spacing w:line="360" w:lineRule="auto"/>
        <w:ind w:firstLine="560"/>
        <w:jc w:val="left"/>
        <w:textAlignment w:val="center"/>
        <w:rPr>
          <w:sz w:val="21"/>
        </w:rPr>
      </w:pPr>
      <w:r>
        <w:rPr>
          <w:rFonts w:ascii="楷体" w:hAnsi="楷体" w:eastAsia="楷体" w:cs="楷体"/>
          <w:sz w:val="21"/>
        </w:rPr>
        <w:t>材料二</w:t>
      </w:r>
      <w:r>
        <w:rPr>
          <w:rFonts w:ascii="Times New Roman" w:hAnsi="Times New Roman" w:eastAsia="Times New Roman" w:cs="Times New Roman"/>
          <w:kern w:val="0"/>
          <w:sz w:val="24"/>
          <w:szCs w:val="24"/>
        </w:rPr>
        <w:t>  </w:t>
      </w:r>
      <w:r>
        <w:rPr>
          <w:rFonts w:ascii="楷体" w:hAnsi="楷体" w:eastAsia="楷体" w:cs="楷体"/>
          <w:sz w:val="21"/>
        </w:rPr>
        <w:t>《提振消费专项行动方案》按照以增收减负提升消费能力、以高质量供给创造有效需求、以优化消费环境增强消费意愿的政策思路，提出了30条政策举措，包括需求端的城乡居民增收促进行动、消费能力保障支持行动，供给端的服务消费提质惠民行动、大宗消费更新升级行动、消费品质提升行动，以及外部环境端的消费环境改善提升行动、限制措施清理优化行动等。《行动方案》通过多方面的政策举措，全方位扩大国内需求，不仅有助于短期经济的稳定增长，也为长期经济高质量发展和社会和谐稳定奠定了坚实基础。</w:t>
      </w:r>
    </w:p>
    <w:p w14:paraId="6967ACAA">
      <w:pPr>
        <w:shd w:val="clear" w:color="auto" w:fill="auto"/>
        <w:spacing w:line="360" w:lineRule="auto"/>
        <w:jc w:val="left"/>
        <w:textAlignment w:val="center"/>
        <w:rPr>
          <w:sz w:val="21"/>
        </w:rPr>
      </w:pPr>
      <w:r>
        <w:rPr>
          <w:sz w:val="21"/>
        </w:rPr>
        <w:t>(1)结合材料一，运用经济与社会的知识，说明我国应如何扩大居民消费需求。</w:t>
      </w:r>
    </w:p>
    <w:p w14:paraId="1BACC789">
      <w:pPr>
        <w:shd w:val="clear" w:color="auto" w:fill="auto"/>
        <w:spacing w:line="360" w:lineRule="auto"/>
        <w:jc w:val="left"/>
        <w:textAlignment w:val="center"/>
        <w:rPr>
          <w:sz w:val="21"/>
        </w:rPr>
      </w:pPr>
      <w:r>
        <w:rPr>
          <w:sz w:val="21"/>
        </w:rPr>
        <w:t>(2)运用“把握辩证分合”的知识，分析材料二中对《提振消费专项行动方案》的解读所蕴含的思维方法。</w:t>
      </w:r>
    </w:p>
    <w:p w14:paraId="1FE76969">
      <w:pPr>
        <w:shd w:val="clear" w:color="auto" w:fill="auto"/>
        <w:spacing w:line="360" w:lineRule="auto"/>
        <w:jc w:val="left"/>
        <w:textAlignment w:val="center"/>
        <w:rPr>
          <w:sz w:val="21"/>
        </w:rPr>
        <w:sectPr>
          <w:footerReference r:id="rId3" w:type="default"/>
          <w:footerReference r:id="rId4" w:type="even"/>
          <w:pgSz w:w="11907" w:h="16839"/>
          <w:pgMar w:top="1440" w:right="1800" w:bottom="1440" w:left="1800" w:header="851" w:footer="425" w:gutter="0"/>
          <w:cols w:space="425" w:num="1" w:sep="1"/>
          <w:docGrid w:type="lines" w:linePitch="312" w:charSpace="0"/>
        </w:sectPr>
      </w:pPr>
    </w:p>
    <w:p w14:paraId="22A2AD71">
      <w:pPr>
        <w:numPr>
          <w:numId w:val="0"/>
        </w:numPr>
        <w:rPr>
          <w:rFonts w:hint="default" w:eastAsiaTheme="minor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A3FE5">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CAB80">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DB8B41"/>
    <w:multiLevelType w:val="singleLevel"/>
    <w:tmpl w:val="65DB8B4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980082"/>
    <w:rsid w:val="60980082"/>
    <w:rsid w:val="6FBA1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288</Words>
  <Characters>288</Characters>
  <Lines>0</Lines>
  <Paragraphs>0</Paragraphs>
  <TotalTime>0</TotalTime>
  <ScaleCrop>false</ScaleCrop>
  <LinksUpToDate>false</LinksUpToDate>
  <CharactersWithSpaces>288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2025-05-07T09:33:00Z</dcterms:created>
  <dc:creator>zephyr</dc:creator>
  <cp:lastModifiedBy>zephyr</cp:lastModifiedBy>
  <dcterms:modified xsi:type="dcterms:W3CDTF">2025-05-30T03:27:11Z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D574E76BD2D444CDB90CF42D0E69E241_11</vt:lpwstr>
  </property>
  <property fmtid="{D5CDD505-2E9C-101B-9397-08002B2CF9AE}" pid="4" name="KSOTemplateDocerSaveRecord">
    <vt:lpwstr>eyJoZGlkIjoiNTQ0MWU1NTk1ZjM3NGZmNTBlMTdlMzIxYmQwNWRlOWMiLCJ1c2VySWQiOiIyODYyNjk0MjAifQ==</vt:lpwstr>
  </property>
</Properties>
</file>