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五石之瓠》选自普通高中语文教材选择性必修上册的第二单元。本单元集中学习先秦诸子散文，以加深对传统文化之根的理解。要注意领会先秦诸子对社会人生的洞察，思考其思想学说对立德树人、修身养性的现实意义；感受先秦诸子或雍容或犀利或雄奇或朴拙的论说风格。基于本单元的教学目标，设计了三个阶梯式教学环节，由本文的文体特征对话式寓言引发学生的思考，概括庄子与惠子二人所叙述的故事，由此引申至二人思想的不同，抓住庄子与惠子互相对对方的评价来思考二人思想的不同，理解庄子思想的汪洋恣肆。但是，在教学过程中，学生对小大之辨的理解有误，没有及时纠正，降低了对文本的理解，可从惠子庄子二人思想境界的高低来理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2D1F81"/>
    <w:rsid w:val="E72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2024-11-21T15:35:00Z</dcterms:created>
  <dc:creator>当时明月在1378208717</dc:creator>
  <cp:lastModifiedBy>当时明月在1378208717</cp:lastModifiedBy>
  <dcterms:modified xsi:type="dcterms:W3CDTF">2024-11-24T15:21:29Z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2AED943A4D97A9FFCBE23E67972716BD_41</vt:lpwstr>
  </property>
</Properties>
</file>