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4F8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Helvetica" w:hAnsi="Helvetica" w:eastAsia="Helvetica" w:cs="Helvetica"/>
          <w:i w:val="0"/>
          <w:iCs w:val="0"/>
          <w:caps w:val="0"/>
          <w:color w:val="000000"/>
          <w:spacing w:val="0"/>
          <w:sz w:val="30"/>
          <w:szCs w:val="30"/>
        </w:rPr>
      </w:pPr>
      <w:r>
        <w:rPr>
          <w:rFonts w:ascii="黑体" w:hAnsi="宋体" w:eastAsia="黑体" w:cs="黑体"/>
          <w:i w:val="0"/>
          <w:iCs w:val="0"/>
          <w:caps w:val="0"/>
          <w:color w:val="000000"/>
          <w:spacing w:val="0"/>
          <w:sz w:val="30"/>
          <w:szCs w:val="30"/>
          <w:shd w:val="clear" w:fill="FFFFFF"/>
        </w:rPr>
        <w:t>202</w:t>
      </w:r>
      <w:r>
        <w:rPr>
          <w:rFonts w:hint="eastAsia" w:ascii="黑体" w:hAnsi="宋体" w:eastAsia="黑体" w:cs="黑体"/>
          <w:i w:val="0"/>
          <w:iCs w:val="0"/>
          <w:caps w:val="0"/>
          <w:color w:val="000000"/>
          <w:spacing w:val="0"/>
          <w:sz w:val="30"/>
          <w:szCs w:val="30"/>
          <w:shd w:val="clear" w:fill="FFFFFF"/>
          <w:lang w:val="en-US" w:eastAsia="zh-CN"/>
        </w:rPr>
        <w:t>4</w:t>
      </w:r>
      <w:r>
        <w:rPr>
          <w:rFonts w:hint="eastAsia" w:ascii="黑体" w:hAnsi="宋体" w:eastAsia="黑体" w:cs="黑体"/>
          <w:i w:val="0"/>
          <w:iCs w:val="0"/>
          <w:caps w:val="0"/>
          <w:color w:val="000000"/>
          <w:spacing w:val="0"/>
          <w:sz w:val="30"/>
          <w:szCs w:val="30"/>
          <w:shd w:val="clear" w:fill="FFFFFF"/>
        </w:rPr>
        <w:t>—202</w:t>
      </w:r>
      <w:r>
        <w:rPr>
          <w:rFonts w:hint="eastAsia" w:ascii="黑体" w:hAnsi="宋体" w:eastAsia="黑体" w:cs="黑体"/>
          <w:i w:val="0"/>
          <w:iCs w:val="0"/>
          <w:caps w:val="0"/>
          <w:color w:val="000000"/>
          <w:spacing w:val="0"/>
          <w:sz w:val="30"/>
          <w:szCs w:val="30"/>
          <w:shd w:val="clear" w:fill="FFFFFF"/>
          <w:lang w:val="en-US" w:eastAsia="zh-CN"/>
        </w:rPr>
        <w:t>5</w:t>
      </w:r>
      <w:r>
        <w:rPr>
          <w:rFonts w:hint="eastAsia" w:ascii="黑体" w:hAnsi="宋体" w:eastAsia="黑体" w:cs="黑体"/>
          <w:i w:val="0"/>
          <w:iCs w:val="0"/>
          <w:caps w:val="0"/>
          <w:color w:val="000000"/>
          <w:spacing w:val="0"/>
          <w:sz w:val="30"/>
          <w:szCs w:val="30"/>
          <w:shd w:val="clear" w:fill="FFFFFF"/>
        </w:rPr>
        <w:t>学年第一学期高三物理备课组教学计划</w:t>
      </w:r>
    </w:p>
    <w:p w14:paraId="0DAE4D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shd w:val="clear" w:fill="FFFFFF"/>
        </w:rPr>
        <w:t>一、指导思想</w:t>
      </w:r>
    </w:p>
    <w:p w14:paraId="53D869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default" w:ascii="Helvetica" w:hAnsi="Helvetica" w:eastAsia="Helvetica" w:cs="Helvetica"/>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以“问题导学，任务驱动”为课堂教学的指导思想，以“新高考，新要求，新举措”为研究重点，充分发挥课堂教学与课后训练的效率，进一步完善并落实新学案的修编工作、课堂教学、课后作业与评价等环节。同时，关注新教师的成长和锻炼，落实备课组内的推磨听课活动以达到相互学习的目的，并尽力促进两位新教师的成长。</w:t>
      </w:r>
    </w:p>
    <w:p w14:paraId="784695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shd w:val="clear" w:fill="FFFFFF"/>
        </w:rPr>
        <w:t>二、工作目标</w:t>
      </w:r>
    </w:p>
    <w:p w14:paraId="3875B2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1、 强化物理概念与物理规律的应用；促进学生对知识的理解。</w:t>
      </w:r>
      <w:r>
        <w:rPr>
          <w:rFonts w:hint="eastAsia" w:ascii="宋体" w:hAnsi="宋体" w:eastAsia="宋体" w:cs="宋体"/>
          <w:i w:val="0"/>
          <w:iCs w:val="0"/>
          <w:caps w:val="0"/>
          <w:color w:val="000000"/>
          <w:spacing w:val="0"/>
          <w:sz w:val="21"/>
          <w:szCs w:val="21"/>
          <w:shd w:val="clear" w:fill="FFFFFF"/>
          <w:lang w:val="en-US" w:eastAsia="zh-CN"/>
        </w:rPr>
        <w:t>对学生</w:t>
      </w:r>
      <w:r>
        <w:rPr>
          <w:rFonts w:hint="eastAsia" w:ascii="宋体" w:hAnsi="宋体" w:eastAsia="宋体" w:cs="宋体"/>
          <w:i w:val="0"/>
          <w:iCs w:val="0"/>
          <w:caps w:val="0"/>
          <w:color w:val="000000"/>
          <w:spacing w:val="0"/>
          <w:sz w:val="21"/>
          <w:szCs w:val="21"/>
          <w:shd w:val="clear" w:fill="FFFFFF"/>
        </w:rPr>
        <w:t>有针对性地进行个别辅导，引导学生获得物理基本概念、定理定律等基本知识；</w:t>
      </w:r>
    </w:p>
    <w:p w14:paraId="7AFDB4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rPr>
        <w:t>引导学生如何建构物理模型来分析和解决物理问题</w:t>
      </w: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lang w:val="en-US" w:eastAsia="zh-CN"/>
        </w:rPr>
        <w:t>提升物理学科核心素养</w:t>
      </w:r>
    </w:p>
    <w:p w14:paraId="5C5FEB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宋体" w:hAnsi="宋体" w:eastAsia="宋体" w:cs="宋体"/>
          <w:i w:val="0"/>
          <w:iCs w:val="0"/>
          <w:caps w:val="0"/>
          <w:color w:val="000000"/>
          <w:spacing w:val="0"/>
          <w:sz w:val="21"/>
          <w:szCs w:val="21"/>
          <w:shd w:val="clear" w:fill="FFFFFF"/>
        </w:rPr>
      </w:pPr>
      <w:r>
        <w:rPr>
          <w:rFonts w:hint="default" w:ascii="宋体" w:hAnsi="宋体" w:eastAsia="宋体" w:cs="宋体"/>
          <w:i w:val="0"/>
          <w:iCs w:val="0"/>
          <w:caps w:val="0"/>
          <w:color w:val="000000"/>
          <w:spacing w:val="0"/>
          <w:sz w:val="21"/>
          <w:szCs w:val="21"/>
          <w:shd w:val="clear" w:fill="FFFFFF"/>
        </w:rPr>
        <w:t>2</w:t>
      </w:r>
      <w:r>
        <w:rPr>
          <w:rFonts w:hint="eastAsia" w:ascii="宋体" w:hAnsi="宋体" w:eastAsia="宋体" w:cs="宋体"/>
          <w:i w:val="0"/>
          <w:iCs w:val="0"/>
          <w:caps w:val="0"/>
          <w:color w:val="000000"/>
          <w:spacing w:val="0"/>
          <w:sz w:val="21"/>
          <w:szCs w:val="21"/>
          <w:shd w:val="clear" w:fill="FFFFFF"/>
        </w:rPr>
        <w:t>、加强对学生学习习惯的培养，督促学生按时完成学习任务，进而提高学生的学习效率和成果。</w:t>
      </w:r>
    </w:p>
    <w:p w14:paraId="2123C8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Helvetica" w:hAnsi="Helvetica" w:eastAsia="Helvetica" w:cs="Helvetica"/>
          <w:i w:val="0"/>
          <w:iCs w:val="0"/>
          <w:caps w:val="0"/>
          <w:color w:val="000000"/>
          <w:spacing w:val="0"/>
          <w:sz w:val="21"/>
          <w:szCs w:val="21"/>
        </w:rPr>
      </w:pPr>
      <w:r>
        <w:rPr>
          <w:rFonts w:hint="default" w:ascii="Calibri" w:hAnsi="Calibri" w:eastAsia="Helvetica" w:cs="Calibri"/>
          <w:i w:val="0"/>
          <w:iCs w:val="0"/>
          <w:caps w:val="0"/>
          <w:color w:val="000000"/>
          <w:spacing w:val="0"/>
          <w:sz w:val="21"/>
          <w:szCs w:val="21"/>
          <w:shd w:val="clear" w:fill="FFFFFF"/>
        </w:rPr>
        <w:t>3</w:t>
      </w:r>
      <w:r>
        <w:rPr>
          <w:rFonts w:hint="eastAsia" w:ascii="宋体" w:hAnsi="宋体" w:eastAsia="宋体" w:cs="宋体"/>
          <w:i w:val="0"/>
          <w:iCs w:val="0"/>
          <w:caps w:val="0"/>
          <w:color w:val="000000"/>
          <w:spacing w:val="0"/>
          <w:sz w:val="21"/>
          <w:szCs w:val="21"/>
          <w:shd w:val="clear" w:fill="FFFFFF"/>
        </w:rPr>
        <w:t>、加强教学理论和技术的学习，进而促进教师的学习和成长，取得潢意的成绩。</w:t>
      </w:r>
    </w:p>
    <w:p w14:paraId="7DF95A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Helvetica" w:hAnsi="Helvetica" w:eastAsia="Helvetica" w:cs="Helvetica"/>
          <w:i w:val="0"/>
          <w:iCs w:val="0"/>
          <w:caps w:val="0"/>
          <w:color w:val="000000"/>
          <w:spacing w:val="0"/>
          <w:sz w:val="21"/>
          <w:szCs w:val="21"/>
        </w:rPr>
      </w:pPr>
      <w:r>
        <w:rPr>
          <w:rFonts w:hint="default" w:ascii="Calibri" w:hAnsi="Calibri" w:eastAsia="Helvetica" w:cs="Calibri"/>
          <w:i w:val="0"/>
          <w:iCs w:val="0"/>
          <w:caps w:val="0"/>
          <w:color w:val="000000"/>
          <w:spacing w:val="0"/>
          <w:sz w:val="21"/>
          <w:szCs w:val="21"/>
          <w:shd w:val="clear" w:fill="FFFFFF"/>
        </w:rPr>
        <w:t>4</w:t>
      </w:r>
      <w:r>
        <w:rPr>
          <w:rFonts w:hint="eastAsia" w:ascii="宋体" w:hAnsi="宋体" w:eastAsia="宋体" w:cs="宋体"/>
          <w:i w:val="0"/>
          <w:iCs w:val="0"/>
          <w:caps w:val="0"/>
          <w:color w:val="000000"/>
          <w:spacing w:val="0"/>
          <w:sz w:val="21"/>
          <w:szCs w:val="21"/>
          <w:shd w:val="clear" w:fill="FFFFFF"/>
        </w:rPr>
        <w:t>、在历次统一检测中，帮助学生取得令人满意的成绩。</w:t>
      </w:r>
    </w:p>
    <w:p w14:paraId="18F47A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shd w:val="clear" w:fill="FFFFFF"/>
        </w:rPr>
        <w:t>三、具体措施</w:t>
      </w:r>
    </w:p>
    <w:p w14:paraId="122DFB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Helvetica" w:hAnsi="Helvetica" w:eastAsia="Helvetica" w:cs="Helvetica"/>
          <w:i w:val="0"/>
          <w:iCs w:val="0"/>
          <w:caps w:val="0"/>
          <w:color w:val="000000"/>
          <w:spacing w:val="0"/>
          <w:sz w:val="21"/>
          <w:szCs w:val="21"/>
        </w:rPr>
      </w:pPr>
      <w:r>
        <w:rPr>
          <w:rFonts w:hint="default" w:ascii="Calibri" w:hAnsi="Calibri" w:eastAsia="Helvetica" w:cs="Calibri"/>
          <w:i w:val="0"/>
          <w:iCs w:val="0"/>
          <w:caps w:val="0"/>
          <w:color w:val="000000"/>
          <w:spacing w:val="0"/>
          <w:sz w:val="21"/>
          <w:szCs w:val="21"/>
          <w:shd w:val="clear" w:fill="FFFFFF"/>
        </w:rPr>
        <w:t>1</w:t>
      </w:r>
      <w:r>
        <w:rPr>
          <w:rFonts w:hint="eastAsia" w:ascii="宋体" w:hAnsi="宋体" w:eastAsia="宋体" w:cs="宋体"/>
          <w:i w:val="0"/>
          <w:iCs w:val="0"/>
          <w:caps w:val="0"/>
          <w:color w:val="000000"/>
          <w:spacing w:val="0"/>
          <w:sz w:val="21"/>
          <w:szCs w:val="21"/>
          <w:shd w:val="clear" w:fill="FFFFFF"/>
        </w:rPr>
        <w:t>、在对照课程标准后，组织备课组教师参加经常性集体备课活动，在现有的教学资料基础上对每节课进行细致研讨并确定教案方案和课堂、课后的训练内容。</w:t>
      </w:r>
    </w:p>
    <w:p w14:paraId="10334C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Helvetica" w:hAnsi="Helvetica" w:eastAsia="Helvetica" w:cs="Helvetica"/>
          <w:i w:val="0"/>
          <w:iCs w:val="0"/>
          <w:caps w:val="0"/>
          <w:color w:val="000000"/>
          <w:spacing w:val="0"/>
          <w:sz w:val="21"/>
          <w:szCs w:val="21"/>
        </w:rPr>
      </w:pPr>
      <w:r>
        <w:rPr>
          <w:rFonts w:hint="default" w:ascii="Calibri" w:hAnsi="Calibri" w:eastAsia="Helvetica" w:cs="Calibri"/>
          <w:i w:val="0"/>
          <w:iCs w:val="0"/>
          <w:caps w:val="0"/>
          <w:color w:val="000000"/>
          <w:spacing w:val="0"/>
          <w:sz w:val="21"/>
          <w:szCs w:val="21"/>
          <w:shd w:val="clear" w:fill="FFFFFF"/>
        </w:rPr>
        <w:t>2</w:t>
      </w:r>
      <w:r>
        <w:rPr>
          <w:rFonts w:hint="eastAsia" w:ascii="宋体" w:hAnsi="宋体" w:eastAsia="宋体" w:cs="宋体"/>
          <w:i w:val="0"/>
          <w:iCs w:val="0"/>
          <w:caps w:val="0"/>
          <w:color w:val="000000"/>
          <w:spacing w:val="0"/>
          <w:sz w:val="21"/>
          <w:szCs w:val="21"/>
          <w:shd w:val="clear" w:fill="FFFFFF"/>
        </w:rPr>
        <w:t>、在对照课程标准，安排相应老师针对研究主题再研究、设计教学细节，以推磨听课的形式对研究内容进行反思和总结并及时给予调整；或安排组内老师以讲座的形式针对某个主题和技能进行研讨和学习。</w:t>
      </w:r>
    </w:p>
    <w:p w14:paraId="62F69A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Helvetica" w:hAnsi="Helvetica" w:eastAsia="Helvetica" w:cs="Helvetica"/>
          <w:i w:val="0"/>
          <w:iCs w:val="0"/>
          <w:caps w:val="0"/>
          <w:color w:val="000000"/>
          <w:spacing w:val="0"/>
          <w:sz w:val="21"/>
          <w:szCs w:val="21"/>
        </w:rPr>
      </w:pPr>
      <w:r>
        <w:rPr>
          <w:rFonts w:hint="default" w:ascii="Calibri" w:hAnsi="Calibri" w:eastAsia="Helvetica" w:cs="Calibri"/>
          <w:i w:val="0"/>
          <w:iCs w:val="0"/>
          <w:caps w:val="0"/>
          <w:color w:val="000000"/>
          <w:spacing w:val="0"/>
          <w:sz w:val="21"/>
          <w:szCs w:val="21"/>
          <w:shd w:val="clear" w:fill="FFFFFF"/>
        </w:rPr>
        <w:t>3</w:t>
      </w:r>
      <w:r>
        <w:rPr>
          <w:rFonts w:hint="eastAsia" w:ascii="宋体" w:hAnsi="宋体" w:eastAsia="宋体" w:cs="宋体"/>
          <w:i w:val="0"/>
          <w:iCs w:val="0"/>
          <w:caps w:val="0"/>
          <w:color w:val="000000"/>
          <w:spacing w:val="0"/>
          <w:sz w:val="21"/>
          <w:szCs w:val="21"/>
          <w:shd w:val="clear" w:fill="FFFFFF"/>
        </w:rPr>
        <w:t>、印发</w:t>
      </w:r>
      <w:r>
        <w:rPr>
          <w:rFonts w:hint="eastAsia" w:ascii="宋体" w:hAnsi="宋体" w:eastAsia="宋体" w:cs="宋体"/>
          <w:i w:val="0"/>
          <w:iCs w:val="0"/>
          <w:caps w:val="0"/>
          <w:color w:val="000000"/>
          <w:spacing w:val="0"/>
          <w:sz w:val="21"/>
          <w:szCs w:val="21"/>
          <w:shd w:val="clear" w:fill="FFFFFF"/>
          <w:lang w:val="en-US" w:eastAsia="zh-CN"/>
        </w:rPr>
        <w:t>早</w:t>
      </w:r>
      <w:r>
        <w:rPr>
          <w:rFonts w:hint="eastAsia" w:ascii="宋体" w:hAnsi="宋体" w:eastAsia="宋体" w:cs="宋体"/>
          <w:i w:val="0"/>
          <w:iCs w:val="0"/>
          <w:caps w:val="0"/>
          <w:color w:val="000000"/>
          <w:spacing w:val="0"/>
          <w:sz w:val="21"/>
          <w:szCs w:val="21"/>
          <w:shd w:val="clear" w:fill="FFFFFF"/>
        </w:rPr>
        <w:t>间练习及周测卷，并督促各班分发、组织训练，并由任课老师及时进行批阅和讲评，对于“问题点”（存在问题的知识和学生）要进行补充性的巩固。</w:t>
      </w:r>
    </w:p>
    <w:p w14:paraId="6BC9E6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宋体" w:hAnsi="宋体" w:eastAsia="宋体" w:cs="宋体"/>
          <w:i w:val="0"/>
          <w:iCs w:val="0"/>
          <w:caps w:val="0"/>
          <w:color w:val="000000"/>
          <w:spacing w:val="0"/>
          <w:sz w:val="21"/>
          <w:szCs w:val="21"/>
          <w:shd w:val="clear" w:fill="FFFFFF"/>
        </w:rPr>
      </w:pPr>
      <w:r>
        <w:rPr>
          <w:rFonts w:hint="default" w:ascii="Calibri" w:hAnsi="Calibri" w:eastAsia="Helvetica" w:cs="Calibri"/>
          <w:i w:val="0"/>
          <w:iCs w:val="0"/>
          <w:caps w:val="0"/>
          <w:color w:val="000000"/>
          <w:spacing w:val="0"/>
          <w:sz w:val="21"/>
          <w:szCs w:val="21"/>
          <w:shd w:val="clear" w:fill="FFFFFF"/>
        </w:rPr>
        <w:t>4</w:t>
      </w:r>
      <w:r>
        <w:rPr>
          <w:rFonts w:hint="eastAsia" w:ascii="宋体" w:hAnsi="宋体" w:eastAsia="宋体" w:cs="宋体"/>
          <w:i w:val="0"/>
          <w:iCs w:val="0"/>
          <w:caps w:val="0"/>
          <w:color w:val="000000"/>
          <w:spacing w:val="0"/>
          <w:sz w:val="21"/>
          <w:szCs w:val="21"/>
          <w:shd w:val="clear" w:fill="FFFFFF"/>
        </w:rPr>
        <w:t>、对每个阶段的学习内容要及时检测并做出反馈和查漏补缺。</w:t>
      </w:r>
    </w:p>
    <w:p w14:paraId="25DE7B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5、每周进行一次备课组活动，对上一周工作进行总结，并提出改进意见，制定下一周的教学计划，具体到每一天。</w:t>
      </w:r>
    </w:p>
    <w:p w14:paraId="4F63A2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w:hAnsi="Helvetica" w:eastAsia="Helvetica" w:cs="Helvetica"/>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【附】教学进度（计划）表</w:t>
      </w:r>
    </w:p>
    <w:p w14:paraId="4392CD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高三物理备课组教学进度安排表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282"/>
        <w:gridCol w:w="1773"/>
        <w:gridCol w:w="2891"/>
        <w:gridCol w:w="845"/>
        <w:gridCol w:w="777"/>
      </w:tblGrid>
      <w:tr w14:paraId="0612B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gridSpan w:val="2"/>
          </w:tcPr>
          <w:p w14:paraId="5F23F37D">
            <w:pPr>
              <w:jc w:val="center"/>
              <w:rPr>
                <w:vertAlign w:val="baseline"/>
              </w:rPr>
            </w:pPr>
            <w:r>
              <w:rPr>
                <w:rFonts w:hint="eastAsia" w:ascii="宋体" w:hAnsi="宋体" w:eastAsia="宋体" w:cs="宋体"/>
                <w:sz w:val="21"/>
                <w:szCs w:val="21"/>
              </w:rPr>
              <w:t>时间段</w:t>
            </w:r>
          </w:p>
        </w:tc>
        <w:tc>
          <w:tcPr>
            <w:tcW w:w="1773" w:type="dxa"/>
          </w:tcPr>
          <w:p w14:paraId="09C6F88A">
            <w:pPr>
              <w:jc w:val="center"/>
              <w:rPr>
                <w:vertAlign w:val="baseline"/>
              </w:rPr>
            </w:pPr>
            <w:r>
              <w:rPr>
                <w:rFonts w:hint="eastAsia" w:ascii="宋体" w:hAnsi="宋体" w:eastAsia="宋体" w:cs="宋体"/>
                <w:sz w:val="21"/>
                <w:szCs w:val="21"/>
              </w:rPr>
              <w:t>章</w:t>
            </w:r>
          </w:p>
        </w:tc>
        <w:tc>
          <w:tcPr>
            <w:tcW w:w="2891" w:type="dxa"/>
          </w:tcPr>
          <w:p w14:paraId="641874C9">
            <w:pPr>
              <w:jc w:val="center"/>
              <w:rPr>
                <w:rFonts w:hint="eastAsia" w:eastAsiaTheme="minorEastAsia"/>
                <w:vertAlign w:val="baseline"/>
                <w:lang w:val="en-US" w:eastAsia="zh-CN"/>
              </w:rPr>
            </w:pPr>
            <w:r>
              <w:rPr>
                <w:rFonts w:hint="eastAsia"/>
                <w:vertAlign w:val="baseline"/>
                <w:lang w:val="en-US" w:eastAsia="zh-CN"/>
              </w:rPr>
              <w:t>节</w:t>
            </w:r>
          </w:p>
        </w:tc>
        <w:tc>
          <w:tcPr>
            <w:tcW w:w="845" w:type="dxa"/>
          </w:tcPr>
          <w:p w14:paraId="58338440">
            <w:pPr>
              <w:jc w:val="center"/>
              <w:rPr>
                <w:vertAlign w:val="baseline"/>
              </w:rPr>
            </w:pPr>
            <w:r>
              <w:rPr>
                <w:rFonts w:hint="eastAsia" w:ascii="宋体" w:hAnsi="宋体" w:eastAsia="宋体" w:cs="宋体"/>
                <w:sz w:val="21"/>
                <w:szCs w:val="21"/>
              </w:rPr>
              <w:t>课时</w:t>
            </w:r>
          </w:p>
        </w:tc>
        <w:tc>
          <w:tcPr>
            <w:tcW w:w="777" w:type="dxa"/>
          </w:tcPr>
          <w:p w14:paraId="7FC6D859">
            <w:pPr>
              <w:jc w:val="center"/>
              <w:rPr>
                <w:vertAlign w:val="baseline"/>
              </w:rPr>
            </w:pPr>
            <w:r>
              <w:rPr>
                <w:rFonts w:hint="eastAsia" w:ascii="宋体" w:hAnsi="宋体" w:eastAsia="宋体" w:cs="宋体"/>
                <w:sz w:val="21"/>
                <w:szCs w:val="21"/>
                <w:lang w:val="en-US" w:eastAsia="zh-CN"/>
              </w:rPr>
              <w:t>累计</w:t>
            </w:r>
            <w:r>
              <w:rPr>
                <w:rFonts w:hint="eastAsia" w:ascii="宋体" w:hAnsi="宋体" w:eastAsia="宋体" w:cs="宋体"/>
                <w:sz w:val="21"/>
                <w:szCs w:val="21"/>
              </w:rPr>
              <w:t>课时</w:t>
            </w:r>
          </w:p>
        </w:tc>
      </w:tr>
      <w:tr w14:paraId="0B70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954" w:type="dxa"/>
            <w:vMerge w:val="restart"/>
            <w:vAlign w:val="center"/>
          </w:tcPr>
          <w:p w14:paraId="469864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sz w:val="21"/>
                <w:szCs w:val="21"/>
              </w:rPr>
              <w:t>第</w:t>
            </w:r>
            <w:r>
              <w:rPr>
                <w:rFonts w:hint="eastAsia" w:ascii="宋体" w:hAnsi="宋体" w:eastAsia="宋体" w:cs="宋体"/>
                <w:sz w:val="21"/>
                <w:szCs w:val="21"/>
                <w:lang w:val="en-US" w:eastAsia="zh-CN"/>
              </w:rPr>
              <w:t>1</w:t>
            </w:r>
            <w:r>
              <w:rPr>
                <w:rFonts w:hint="eastAsia" w:ascii="宋体" w:hAnsi="宋体" w:eastAsia="宋体" w:cs="宋体"/>
                <w:sz w:val="21"/>
                <w:szCs w:val="21"/>
              </w:rPr>
              <w:t>周</w:t>
            </w:r>
          </w:p>
        </w:tc>
        <w:tc>
          <w:tcPr>
            <w:tcW w:w="1282" w:type="dxa"/>
            <w:vMerge w:val="restart"/>
            <w:vAlign w:val="center"/>
          </w:tcPr>
          <w:p w14:paraId="723C71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9.2-9.8</w:t>
            </w:r>
          </w:p>
          <w:p w14:paraId="43BAAE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kern w:val="0"/>
                <w:sz w:val="21"/>
                <w:szCs w:val="21"/>
                <w:lang w:val="en-US" w:eastAsia="zh-CN" w:bidi="ar"/>
              </w:rPr>
            </w:pPr>
          </w:p>
        </w:tc>
        <w:tc>
          <w:tcPr>
            <w:tcW w:w="1773" w:type="dxa"/>
            <w:vMerge w:val="restart"/>
            <w:vAlign w:val="center"/>
          </w:tcPr>
          <w:p w14:paraId="2DC3D7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1"/>
                <w:szCs w:val="21"/>
                <w:lang w:val="en-US" w:eastAsia="zh-CN" w:bidi="ar"/>
              </w:rPr>
            </w:pPr>
            <w:r>
              <w:rPr>
                <w:rFonts w:hint="eastAsia"/>
                <w:vertAlign w:val="baseline"/>
                <w:lang w:val="en-US" w:eastAsia="zh-CN"/>
              </w:rPr>
              <w:t>运动和力的关系</w:t>
            </w:r>
          </w:p>
        </w:tc>
        <w:tc>
          <w:tcPr>
            <w:tcW w:w="2891" w:type="dxa"/>
            <w:vAlign w:val="center"/>
          </w:tcPr>
          <w:p w14:paraId="666676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kern w:val="0"/>
                <w:sz w:val="21"/>
                <w:szCs w:val="21"/>
                <w:lang w:val="en-US" w:eastAsia="zh-CN" w:bidi="ar"/>
              </w:rPr>
            </w:pPr>
            <w:r>
              <w:rPr>
                <w:rFonts w:hint="default" w:ascii="Calibri" w:hAnsi="Calibri" w:cs="Calibri"/>
                <w:sz w:val="21"/>
                <w:szCs w:val="21"/>
              </w:rPr>
              <w:t>1.</w:t>
            </w:r>
            <w:r>
              <w:rPr>
                <w:rFonts w:hint="eastAsia" w:ascii="宋体" w:hAnsi="宋体" w:eastAsia="宋体" w:cs="宋体"/>
                <w:sz w:val="21"/>
                <w:szCs w:val="21"/>
              </w:rPr>
              <w:t>曲线运动 运动的合成与分解</w:t>
            </w:r>
          </w:p>
        </w:tc>
        <w:tc>
          <w:tcPr>
            <w:tcW w:w="845" w:type="dxa"/>
            <w:vMerge w:val="restart"/>
            <w:vAlign w:val="center"/>
          </w:tcPr>
          <w:p w14:paraId="40E543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kern w:val="0"/>
                <w:sz w:val="21"/>
                <w:szCs w:val="21"/>
                <w:lang w:val="en-US" w:eastAsia="zh-CN" w:bidi="ar"/>
              </w:rPr>
            </w:pPr>
            <w:r>
              <w:rPr>
                <w:rFonts w:hint="eastAsia" w:ascii="Calibri" w:hAnsi="Calibri" w:cs="Calibri"/>
                <w:sz w:val="21"/>
                <w:szCs w:val="21"/>
                <w:lang w:val="en-US" w:eastAsia="zh-CN"/>
              </w:rPr>
              <w:t>6</w:t>
            </w:r>
          </w:p>
        </w:tc>
        <w:tc>
          <w:tcPr>
            <w:tcW w:w="777" w:type="dxa"/>
            <w:vMerge w:val="restart"/>
            <w:vAlign w:val="center"/>
          </w:tcPr>
          <w:p w14:paraId="4001DE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kern w:val="0"/>
                <w:sz w:val="21"/>
                <w:szCs w:val="21"/>
                <w:lang w:val="en-US" w:eastAsia="zh-CN" w:bidi="ar"/>
              </w:rPr>
            </w:pPr>
            <w:r>
              <w:rPr>
                <w:rFonts w:hint="eastAsia" w:ascii="Calibri" w:hAnsi="Calibri" w:cs="Calibri"/>
                <w:sz w:val="21"/>
                <w:szCs w:val="21"/>
                <w:lang w:val="en-US" w:eastAsia="zh-CN"/>
              </w:rPr>
              <w:t>6</w:t>
            </w:r>
          </w:p>
        </w:tc>
      </w:tr>
      <w:tr w14:paraId="5DE78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54" w:type="dxa"/>
            <w:vMerge w:val="continue"/>
            <w:vAlign w:val="center"/>
          </w:tcPr>
          <w:p w14:paraId="62C702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p>
        </w:tc>
        <w:tc>
          <w:tcPr>
            <w:tcW w:w="1282" w:type="dxa"/>
            <w:vMerge w:val="continue"/>
            <w:vAlign w:val="center"/>
          </w:tcPr>
          <w:p w14:paraId="2E3BCC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p>
        </w:tc>
        <w:tc>
          <w:tcPr>
            <w:tcW w:w="1773" w:type="dxa"/>
            <w:vMerge w:val="continue"/>
            <w:tcBorders/>
            <w:vAlign w:val="center"/>
          </w:tcPr>
          <w:p w14:paraId="0FD576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p>
        </w:tc>
        <w:tc>
          <w:tcPr>
            <w:tcW w:w="2891" w:type="dxa"/>
            <w:vAlign w:val="center"/>
          </w:tcPr>
          <w:p w14:paraId="501D15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sz w:val="21"/>
                <w:szCs w:val="21"/>
              </w:rPr>
            </w:pPr>
            <w:r>
              <w:rPr>
                <w:rFonts w:hint="default" w:ascii="Calibri" w:hAnsi="Calibri" w:cs="Calibri"/>
                <w:sz w:val="21"/>
                <w:szCs w:val="21"/>
              </w:rPr>
              <w:t>2.</w:t>
            </w:r>
            <w:r>
              <w:rPr>
                <w:rFonts w:hint="eastAsia" w:ascii="宋体" w:hAnsi="宋体" w:eastAsia="宋体" w:cs="宋体"/>
                <w:sz w:val="21"/>
                <w:szCs w:val="21"/>
              </w:rPr>
              <w:t>抛体运动</w:t>
            </w:r>
            <w:r>
              <w:rPr>
                <w:rFonts w:hint="eastAsia" w:ascii="宋体" w:hAnsi="宋体" w:eastAsia="宋体" w:cs="宋体"/>
                <w:sz w:val="21"/>
                <w:szCs w:val="21"/>
                <w:lang w:eastAsia="zh-CN"/>
              </w:rPr>
              <w:t>的</w:t>
            </w:r>
            <w:r>
              <w:rPr>
                <w:rFonts w:hint="eastAsia" w:ascii="宋体" w:hAnsi="宋体" w:eastAsia="宋体" w:cs="宋体"/>
                <w:sz w:val="21"/>
                <w:szCs w:val="21"/>
                <w:lang w:val="en-US" w:eastAsia="zh-CN"/>
              </w:rPr>
              <w:t>规律</w:t>
            </w:r>
          </w:p>
        </w:tc>
        <w:tc>
          <w:tcPr>
            <w:tcW w:w="845" w:type="dxa"/>
            <w:vMerge w:val="continue"/>
            <w:vAlign w:val="center"/>
          </w:tcPr>
          <w:p w14:paraId="3BBC10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sz w:val="21"/>
                <w:szCs w:val="21"/>
              </w:rPr>
            </w:pPr>
          </w:p>
        </w:tc>
        <w:tc>
          <w:tcPr>
            <w:tcW w:w="777" w:type="dxa"/>
            <w:vMerge w:val="continue"/>
            <w:vAlign w:val="center"/>
          </w:tcPr>
          <w:p w14:paraId="31937E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sz w:val="21"/>
                <w:szCs w:val="21"/>
              </w:rPr>
            </w:pPr>
          </w:p>
        </w:tc>
      </w:tr>
      <w:tr w14:paraId="38243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54" w:type="dxa"/>
            <w:vMerge w:val="continue"/>
            <w:vAlign w:val="center"/>
          </w:tcPr>
          <w:p w14:paraId="1AC848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sz w:val="21"/>
                <w:szCs w:val="21"/>
              </w:rPr>
            </w:pPr>
          </w:p>
        </w:tc>
        <w:tc>
          <w:tcPr>
            <w:tcW w:w="1282" w:type="dxa"/>
            <w:vMerge w:val="continue"/>
            <w:vAlign w:val="center"/>
          </w:tcPr>
          <w:p w14:paraId="615953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sz w:val="21"/>
                <w:szCs w:val="21"/>
              </w:rPr>
            </w:pPr>
          </w:p>
        </w:tc>
        <w:tc>
          <w:tcPr>
            <w:tcW w:w="1773" w:type="dxa"/>
            <w:vMerge w:val="continue"/>
            <w:tcBorders/>
            <w:vAlign w:val="center"/>
          </w:tcPr>
          <w:p w14:paraId="335FE3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sz w:val="21"/>
                <w:szCs w:val="21"/>
              </w:rPr>
            </w:pPr>
          </w:p>
        </w:tc>
        <w:tc>
          <w:tcPr>
            <w:tcW w:w="2891" w:type="dxa"/>
            <w:tcBorders/>
            <w:vAlign w:val="center"/>
          </w:tcPr>
          <w:p w14:paraId="264C09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3实验：平抛运动特点</w:t>
            </w:r>
          </w:p>
        </w:tc>
        <w:tc>
          <w:tcPr>
            <w:tcW w:w="845" w:type="dxa"/>
            <w:vMerge w:val="continue"/>
            <w:vAlign w:val="center"/>
          </w:tcPr>
          <w:p w14:paraId="6369AF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sz w:val="21"/>
                <w:szCs w:val="21"/>
              </w:rPr>
            </w:pPr>
          </w:p>
        </w:tc>
        <w:tc>
          <w:tcPr>
            <w:tcW w:w="777" w:type="dxa"/>
            <w:vMerge w:val="continue"/>
            <w:vAlign w:val="center"/>
          </w:tcPr>
          <w:p w14:paraId="39D58F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sz w:val="21"/>
                <w:szCs w:val="21"/>
              </w:rPr>
            </w:pPr>
          </w:p>
        </w:tc>
      </w:tr>
      <w:tr w14:paraId="3E82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4" w:type="dxa"/>
            <w:vMerge w:val="restart"/>
            <w:vAlign w:val="center"/>
          </w:tcPr>
          <w:p w14:paraId="38DC32AD">
            <w:pP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第2周</w:t>
            </w:r>
          </w:p>
        </w:tc>
        <w:tc>
          <w:tcPr>
            <w:tcW w:w="1282" w:type="dxa"/>
            <w:vMerge w:val="restart"/>
            <w:vAlign w:val="center"/>
          </w:tcPr>
          <w:p w14:paraId="591384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9.9-9.15</w:t>
            </w:r>
          </w:p>
        </w:tc>
        <w:tc>
          <w:tcPr>
            <w:tcW w:w="1773" w:type="dxa"/>
            <w:vMerge w:val="continue"/>
            <w:tcBorders/>
            <w:vAlign w:val="center"/>
          </w:tcPr>
          <w:p w14:paraId="118CF897">
            <w:pPr>
              <w:rPr>
                <w:rFonts w:hint="eastAsia" w:ascii="宋体" w:hAnsi="宋体" w:eastAsia="宋体" w:cs="宋体"/>
                <w:kern w:val="0"/>
                <w:sz w:val="21"/>
                <w:szCs w:val="21"/>
                <w:lang w:val="en-US" w:eastAsia="zh-CN" w:bidi="ar"/>
              </w:rPr>
            </w:pPr>
          </w:p>
        </w:tc>
        <w:tc>
          <w:tcPr>
            <w:tcW w:w="2891" w:type="dxa"/>
            <w:vAlign w:val="center"/>
          </w:tcPr>
          <w:p w14:paraId="144823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ascii="宋体" w:hAnsi="宋体" w:eastAsia="宋体" w:cs="宋体"/>
                <w:kern w:val="0"/>
                <w:sz w:val="21"/>
                <w:szCs w:val="21"/>
                <w:lang w:val="en-US" w:eastAsia="zh-CN" w:bidi="ar"/>
              </w:rPr>
            </w:pPr>
            <w:r>
              <w:rPr>
                <w:rFonts w:hint="eastAsia" w:ascii="Calibri" w:hAnsi="Calibri" w:cs="Calibri"/>
                <w:sz w:val="21"/>
                <w:szCs w:val="21"/>
                <w:lang w:val="en-US" w:eastAsia="zh-CN"/>
              </w:rPr>
              <w:t>4</w:t>
            </w:r>
            <w:r>
              <w:rPr>
                <w:rFonts w:hint="default" w:ascii="Calibri" w:hAnsi="Calibri" w:cs="Calibri"/>
                <w:sz w:val="21"/>
                <w:szCs w:val="21"/>
              </w:rPr>
              <w:t>.</w:t>
            </w:r>
            <w:r>
              <w:rPr>
                <w:rFonts w:hint="eastAsia" w:ascii="宋体" w:hAnsi="宋体" w:eastAsia="宋体" w:cs="宋体"/>
                <w:sz w:val="21"/>
                <w:szCs w:val="21"/>
              </w:rPr>
              <w:t>圆周运动</w:t>
            </w:r>
          </w:p>
        </w:tc>
        <w:tc>
          <w:tcPr>
            <w:tcW w:w="845" w:type="dxa"/>
            <w:vMerge w:val="restart"/>
            <w:vAlign w:val="center"/>
          </w:tcPr>
          <w:p w14:paraId="3DA359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0"/>
                <w:sz w:val="21"/>
                <w:szCs w:val="21"/>
                <w:lang w:val="en-US" w:eastAsia="zh-CN" w:bidi="ar"/>
              </w:rPr>
            </w:pPr>
            <w:r>
              <w:rPr>
                <w:rFonts w:hint="eastAsia" w:cstheme="minorBidi"/>
                <w:kern w:val="0"/>
                <w:sz w:val="21"/>
                <w:szCs w:val="21"/>
                <w:lang w:val="en-US" w:eastAsia="zh-CN" w:bidi="ar"/>
              </w:rPr>
              <w:t>3</w:t>
            </w:r>
          </w:p>
        </w:tc>
        <w:tc>
          <w:tcPr>
            <w:tcW w:w="777" w:type="dxa"/>
            <w:vMerge w:val="restart"/>
            <w:vAlign w:val="center"/>
          </w:tcPr>
          <w:p w14:paraId="090F13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kern w:val="0"/>
                <w:sz w:val="21"/>
                <w:szCs w:val="21"/>
                <w:lang w:val="en-US" w:eastAsia="zh-CN" w:bidi="ar"/>
              </w:rPr>
            </w:pPr>
            <w:r>
              <w:rPr>
                <w:rFonts w:hint="eastAsia" w:ascii="Calibri" w:hAnsi="Calibri" w:cs="Calibri"/>
                <w:sz w:val="21"/>
                <w:szCs w:val="21"/>
                <w:lang w:val="en-US" w:eastAsia="zh-CN"/>
              </w:rPr>
              <w:t>9</w:t>
            </w:r>
          </w:p>
        </w:tc>
      </w:tr>
      <w:tr w14:paraId="0760C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4" w:type="dxa"/>
            <w:vMerge w:val="continue"/>
            <w:vAlign w:val="center"/>
          </w:tcPr>
          <w:p w14:paraId="009743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pPr>
          </w:p>
        </w:tc>
        <w:tc>
          <w:tcPr>
            <w:tcW w:w="1282" w:type="dxa"/>
            <w:vMerge w:val="continue"/>
            <w:vAlign w:val="center"/>
          </w:tcPr>
          <w:p w14:paraId="3AF2B9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pPr>
          </w:p>
        </w:tc>
        <w:tc>
          <w:tcPr>
            <w:tcW w:w="1773" w:type="dxa"/>
            <w:vMerge w:val="continue"/>
            <w:tcBorders/>
            <w:vAlign w:val="center"/>
          </w:tcPr>
          <w:p w14:paraId="3D6759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pPr>
          </w:p>
        </w:tc>
        <w:tc>
          <w:tcPr>
            <w:tcW w:w="2891" w:type="dxa"/>
            <w:vAlign w:val="center"/>
          </w:tcPr>
          <w:p w14:paraId="046DDF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ascii="Calibri" w:hAnsi="Calibri" w:cs="Calibri"/>
                <w:sz w:val="21"/>
                <w:szCs w:val="21"/>
                <w:lang w:val="en-US" w:eastAsia="zh-CN"/>
              </w:rPr>
            </w:pPr>
            <w:r>
              <w:rPr>
                <w:rFonts w:hint="eastAsia"/>
                <w:vertAlign w:val="baseline"/>
                <w:lang w:val="en-US" w:eastAsia="zh-CN"/>
              </w:rPr>
              <w:t>5.圆周运动临界问题</w:t>
            </w:r>
          </w:p>
        </w:tc>
        <w:tc>
          <w:tcPr>
            <w:tcW w:w="845" w:type="dxa"/>
            <w:vMerge w:val="continue"/>
            <w:vAlign w:val="center"/>
          </w:tcPr>
          <w:p w14:paraId="55AE2D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ascii="Calibri" w:hAnsi="Calibri" w:cs="Calibri"/>
                <w:sz w:val="21"/>
                <w:szCs w:val="21"/>
                <w:lang w:val="en-US" w:eastAsia="zh-CN"/>
              </w:rPr>
            </w:pPr>
          </w:p>
        </w:tc>
        <w:tc>
          <w:tcPr>
            <w:tcW w:w="777" w:type="dxa"/>
            <w:vMerge w:val="continue"/>
            <w:vAlign w:val="center"/>
          </w:tcPr>
          <w:p w14:paraId="770DDD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ascii="Calibri" w:hAnsi="Calibri" w:cs="Calibri"/>
                <w:sz w:val="21"/>
                <w:szCs w:val="21"/>
                <w:lang w:val="en-US" w:eastAsia="zh-CN"/>
              </w:rPr>
            </w:pPr>
          </w:p>
        </w:tc>
      </w:tr>
      <w:tr w14:paraId="63D33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54" w:type="dxa"/>
            <w:vMerge w:val="continue"/>
            <w:vAlign w:val="center"/>
          </w:tcPr>
          <w:p w14:paraId="15F417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ascii="Calibri" w:hAnsi="Calibri" w:cs="Calibri"/>
                <w:sz w:val="21"/>
                <w:szCs w:val="21"/>
                <w:lang w:val="en-US" w:eastAsia="zh-CN"/>
              </w:rPr>
            </w:pPr>
          </w:p>
        </w:tc>
        <w:tc>
          <w:tcPr>
            <w:tcW w:w="1282" w:type="dxa"/>
            <w:vMerge w:val="continue"/>
            <w:vAlign w:val="center"/>
          </w:tcPr>
          <w:p w14:paraId="347BF2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ascii="Calibri" w:hAnsi="Calibri" w:cs="Calibri"/>
                <w:sz w:val="21"/>
                <w:szCs w:val="21"/>
                <w:lang w:val="en-US" w:eastAsia="zh-CN"/>
              </w:rPr>
            </w:pPr>
          </w:p>
        </w:tc>
        <w:tc>
          <w:tcPr>
            <w:tcW w:w="1773" w:type="dxa"/>
            <w:vMerge w:val="continue"/>
            <w:tcBorders/>
            <w:vAlign w:val="center"/>
          </w:tcPr>
          <w:p w14:paraId="6B8530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ascii="Calibri" w:hAnsi="Calibri" w:cs="Calibri"/>
                <w:sz w:val="21"/>
                <w:szCs w:val="21"/>
                <w:lang w:val="en-US" w:eastAsia="zh-CN"/>
              </w:rPr>
            </w:pPr>
          </w:p>
        </w:tc>
        <w:tc>
          <w:tcPr>
            <w:tcW w:w="2891" w:type="dxa"/>
            <w:tcBorders/>
            <w:vAlign w:val="center"/>
          </w:tcPr>
          <w:p w14:paraId="6B3B15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default" w:ascii="Calibri" w:hAnsi="Calibri" w:cs="Calibri"/>
                <w:sz w:val="21"/>
                <w:szCs w:val="21"/>
                <w:lang w:val="en-US" w:eastAsia="zh-CN"/>
              </w:rPr>
            </w:pPr>
            <w:r>
              <w:rPr>
                <w:rFonts w:hint="eastAsia" w:ascii="Calibri" w:hAnsi="Calibri" w:cs="Calibri"/>
                <w:sz w:val="21"/>
                <w:szCs w:val="21"/>
                <w:lang w:val="en-US" w:eastAsia="zh-CN"/>
              </w:rPr>
              <w:t>零模模拟考</w:t>
            </w:r>
          </w:p>
        </w:tc>
        <w:tc>
          <w:tcPr>
            <w:tcW w:w="845" w:type="dxa"/>
            <w:vMerge w:val="continue"/>
            <w:vAlign w:val="center"/>
          </w:tcPr>
          <w:p w14:paraId="3197CB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ascii="Calibri" w:hAnsi="Calibri" w:cs="Calibri"/>
                <w:sz w:val="21"/>
                <w:szCs w:val="21"/>
                <w:lang w:val="en-US" w:eastAsia="zh-CN"/>
              </w:rPr>
            </w:pPr>
          </w:p>
        </w:tc>
        <w:tc>
          <w:tcPr>
            <w:tcW w:w="777" w:type="dxa"/>
            <w:vMerge w:val="continue"/>
            <w:vAlign w:val="center"/>
          </w:tcPr>
          <w:p w14:paraId="4DE1E3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ascii="Calibri" w:hAnsi="Calibri" w:cs="Calibri"/>
                <w:sz w:val="21"/>
                <w:szCs w:val="21"/>
                <w:lang w:val="en-US" w:eastAsia="zh-CN"/>
              </w:rPr>
            </w:pPr>
          </w:p>
        </w:tc>
      </w:tr>
      <w:tr w14:paraId="5DC58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54" w:type="dxa"/>
            <w:vMerge w:val="restart"/>
          </w:tcPr>
          <w:p w14:paraId="76F55973">
            <w:pPr>
              <w:jc w:val="center"/>
              <w:rPr>
                <w:vertAlign w:val="baseline"/>
              </w:rPr>
            </w:pPr>
            <w:r>
              <w:rPr>
                <w:rFonts w:hint="eastAsia" w:ascii="宋体" w:hAnsi="宋体" w:eastAsia="宋体" w:cs="宋体"/>
                <w:sz w:val="21"/>
                <w:szCs w:val="21"/>
              </w:rPr>
              <w:t>第</w:t>
            </w:r>
            <w:r>
              <w:rPr>
                <w:rFonts w:hint="default" w:ascii="Calibri" w:hAnsi="Calibri" w:cs="Calibri"/>
                <w:sz w:val="21"/>
                <w:szCs w:val="21"/>
              </w:rPr>
              <w:t>3</w:t>
            </w:r>
            <w:r>
              <w:rPr>
                <w:rFonts w:hint="eastAsia" w:ascii="宋体" w:hAnsi="宋体" w:eastAsia="宋体" w:cs="宋体"/>
                <w:sz w:val="21"/>
                <w:szCs w:val="21"/>
              </w:rPr>
              <w:t>周</w:t>
            </w:r>
          </w:p>
        </w:tc>
        <w:tc>
          <w:tcPr>
            <w:tcW w:w="1282" w:type="dxa"/>
            <w:vMerge w:val="restart"/>
          </w:tcPr>
          <w:p w14:paraId="390A3B57">
            <w:pPr>
              <w:jc w:val="center"/>
              <w:rPr>
                <w:rFonts w:hint="eastAsia" w:eastAsiaTheme="minorEastAsia"/>
                <w:vertAlign w:val="baseline"/>
                <w:lang w:eastAsia="zh-CN"/>
              </w:rPr>
            </w:pPr>
            <w:r>
              <w:rPr>
                <w:rFonts w:hint="default" w:ascii="Calibri" w:hAnsi="Calibri" w:cs="Calibri"/>
                <w:sz w:val="21"/>
                <w:szCs w:val="21"/>
              </w:rPr>
              <w:t>9.1</w:t>
            </w:r>
            <w:r>
              <w:rPr>
                <w:rFonts w:hint="eastAsia" w:ascii="Calibri" w:hAnsi="Calibri" w:cs="Calibri"/>
                <w:sz w:val="21"/>
                <w:szCs w:val="21"/>
                <w:lang w:val="en-US" w:eastAsia="zh-CN"/>
              </w:rPr>
              <w:t>6</w:t>
            </w:r>
            <w:r>
              <w:rPr>
                <w:rFonts w:hint="default" w:ascii="Calibri" w:hAnsi="Calibri" w:cs="Calibri"/>
                <w:sz w:val="21"/>
                <w:szCs w:val="21"/>
              </w:rPr>
              <w:t>-9.</w:t>
            </w:r>
            <w:r>
              <w:rPr>
                <w:rFonts w:hint="eastAsia" w:ascii="Calibri" w:hAnsi="Calibri" w:cs="Calibri"/>
                <w:sz w:val="21"/>
                <w:szCs w:val="21"/>
                <w:lang w:val="en-US" w:eastAsia="zh-CN"/>
              </w:rPr>
              <w:t>22</w:t>
            </w:r>
          </w:p>
        </w:tc>
        <w:tc>
          <w:tcPr>
            <w:tcW w:w="1773" w:type="dxa"/>
            <w:vMerge w:val="continue"/>
            <w:tcBorders/>
          </w:tcPr>
          <w:p w14:paraId="79417C38">
            <w:pPr>
              <w:jc w:val="center"/>
              <w:rPr>
                <w:rFonts w:hint="default" w:eastAsiaTheme="minorEastAsia"/>
                <w:vertAlign w:val="baseline"/>
                <w:lang w:val="en-US" w:eastAsia="zh-CN"/>
              </w:rPr>
            </w:pPr>
          </w:p>
        </w:tc>
        <w:tc>
          <w:tcPr>
            <w:tcW w:w="2891" w:type="dxa"/>
          </w:tcPr>
          <w:p w14:paraId="2DCFC2D3">
            <w:pPr>
              <w:jc w:val="center"/>
              <w:rPr>
                <w:rFonts w:hint="default" w:eastAsiaTheme="minorEastAsia"/>
                <w:vertAlign w:val="baseline"/>
                <w:lang w:val="en-US" w:eastAsia="zh-CN"/>
              </w:rPr>
            </w:pPr>
            <w:r>
              <w:rPr>
                <w:rFonts w:hint="eastAsia"/>
                <w:vertAlign w:val="baseline"/>
                <w:lang w:val="en-US" w:eastAsia="zh-CN"/>
              </w:rPr>
              <w:t>实验 探究向心力与半径、角速度关系</w:t>
            </w:r>
          </w:p>
        </w:tc>
        <w:tc>
          <w:tcPr>
            <w:tcW w:w="845" w:type="dxa"/>
            <w:vMerge w:val="restart"/>
          </w:tcPr>
          <w:p w14:paraId="3E7E58BE">
            <w:pPr>
              <w:jc w:val="center"/>
              <w:rPr>
                <w:rFonts w:hint="eastAsia" w:eastAsiaTheme="minorEastAsia"/>
                <w:vertAlign w:val="baseline"/>
                <w:lang w:val="en-US" w:eastAsia="zh-CN"/>
              </w:rPr>
            </w:pPr>
            <w:r>
              <w:rPr>
                <w:rFonts w:hint="eastAsia"/>
                <w:vertAlign w:val="baseline"/>
                <w:lang w:val="en-US" w:eastAsia="zh-CN"/>
              </w:rPr>
              <w:t>3</w:t>
            </w:r>
          </w:p>
        </w:tc>
        <w:tc>
          <w:tcPr>
            <w:tcW w:w="777" w:type="dxa"/>
            <w:vMerge w:val="restart"/>
          </w:tcPr>
          <w:p w14:paraId="744BD91B">
            <w:pPr>
              <w:jc w:val="center"/>
              <w:rPr>
                <w:rFonts w:hint="default" w:eastAsiaTheme="minorEastAsia"/>
                <w:vertAlign w:val="baseline"/>
                <w:lang w:val="en-US" w:eastAsia="zh-CN"/>
              </w:rPr>
            </w:pPr>
            <w:r>
              <w:rPr>
                <w:rFonts w:hint="eastAsia"/>
                <w:vertAlign w:val="baseline"/>
                <w:lang w:val="en-US" w:eastAsia="zh-CN"/>
              </w:rPr>
              <w:t>12</w:t>
            </w:r>
          </w:p>
        </w:tc>
      </w:tr>
      <w:tr w14:paraId="53186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54" w:type="dxa"/>
            <w:vMerge w:val="continue"/>
          </w:tcPr>
          <w:p w14:paraId="4C3C9D81">
            <w:pPr>
              <w:jc w:val="center"/>
            </w:pPr>
          </w:p>
        </w:tc>
        <w:tc>
          <w:tcPr>
            <w:tcW w:w="1282" w:type="dxa"/>
            <w:vMerge w:val="continue"/>
          </w:tcPr>
          <w:p w14:paraId="28D4C86C">
            <w:pPr>
              <w:jc w:val="center"/>
            </w:pPr>
          </w:p>
        </w:tc>
        <w:tc>
          <w:tcPr>
            <w:tcW w:w="1773" w:type="dxa"/>
            <w:vMerge w:val="restart"/>
          </w:tcPr>
          <w:p w14:paraId="0DA9D90B">
            <w:pPr>
              <w:jc w:val="center"/>
              <w:rPr>
                <w:rFonts w:hint="eastAsia"/>
                <w:vertAlign w:val="baseline"/>
                <w:lang w:val="en-US" w:eastAsia="zh-CN"/>
              </w:rPr>
            </w:pPr>
          </w:p>
          <w:p w14:paraId="6F22EBF9">
            <w:pPr>
              <w:jc w:val="center"/>
              <w:rPr>
                <w:rFonts w:hint="eastAsia"/>
                <w:vertAlign w:val="baseline"/>
                <w:lang w:val="en-US" w:eastAsia="zh-CN"/>
              </w:rPr>
            </w:pPr>
            <w:r>
              <w:rPr>
                <w:rFonts w:hint="eastAsia"/>
                <w:vertAlign w:val="baseline"/>
                <w:lang w:val="en-US" w:eastAsia="zh-CN"/>
              </w:rPr>
              <w:t>曲线运动与万有引力</w:t>
            </w:r>
          </w:p>
          <w:p w14:paraId="0A7505C0">
            <w:pPr>
              <w:jc w:val="center"/>
              <w:rPr>
                <w:rFonts w:hint="eastAsia"/>
                <w:vertAlign w:val="baseline"/>
                <w:lang w:val="en-US" w:eastAsia="zh-CN"/>
              </w:rPr>
            </w:pPr>
          </w:p>
          <w:p w14:paraId="01992F83">
            <w:pPr>
              <w:jc w:val="center"/>
              <w:rPr>
                <w:rFonts w:hint="eastAsia"/>
                <w:vertAlign w:val="baseline"/>
                <w:lang w:val="en-US" w:eastAsia="zh-CN"/>
              </w:rPr>
            </w:pPr>
          </w:p>
          <w:p w14:paraId="6A65E034">
            <w:pPr>
              <w:jc w:val="center"/>
              <w:rPr>
                <w:rFonts w:hint="default" w:eastAsiaTheme="minorEastAsia"/>
                <w:vertAlign w:val="baseline"/>
                <w:lang w:val="en-US" w:eastAsia="zh-CN"/>
              </w:rPr>
            </w:pPr>
          </w:p>
        </w:tc>
        <w:tc>
          <w:tcPr>
            <w:tcW w:w="2891" w:type="dxa"/>
          </w:tcPr>
          <w:p w14:paraId="390BEBC9">
            <w:pPr>
              <w:jc w:val="center"/>
              <w:rPr>
                <w:vertAlign w:val="baseline"/>
              </w:rPr>
            </w:pPr>
            <w:r>
              <w:rPr>
                <w:rFonts w:hint="eastAsia" w:ascii="Calibri" w:hAnsi="Calibri" w:cs="Calibri"/>
                <w:sz w:val="21"/>
                <w:szCs w:val="21"/>
                <w:lang w:val="en-US" w:eastAsia="zh-CN"/>
              </w:rPr>
              <w:t>1</w:t>
            </w:r>
            <w:r>
              <w:rPr>
                <w:rFonts w:hint="default" w:ascii="Calibri" w:hAnsi="Calibri" w:cs="Calibri"/>
                <w:sz w:val="21"/>
                <w:szCs w:val="21"/>
              </w:rPr>
              <w:t>.</w:t>
            </w:r>
            <w:r>
              <w:rPr>
                <w:rFonts w:hint="eastAsia" w:ascii="宋体" w:hAnsi="宋体" w:eastAsia="宋体" w:cs="宋体"/>
                <w:sz w:val="21"/>
                <w:szCs w:val="21"/>
              </w:rPr>
              <w:t>万有引力</w:t>
            </w:r>
            <w:r>
              <w:rPr>
                <w:rFonts w:hint="eastAsia" w:ascii="宋体" w:hAnsi="宋体" w:eastAsia="宋体" w:cs="宋体"/>
                <w:sz w:val="21"/>
                <w:szCs w:val="21"/>
                <w:lang w:val="en-US" w:eastAsia="zh-CN"/>
              </w:rPr>
              <w:t>定律及应用</w:t>
            </w:r>
          </w:p>
        </w:tc>
        <w:tc>
          <w:tcPr>
            <w:tcW w:w="845" w:type="dxa"/>
            <w:vMerge w:val="continue"/>
          </w:tcPr>
          <w:p w14:paraId="798CFAAE">
            <w:pPr>
              <w:jc w:val="center"/>
              <w:rPr>
                <w:vertAlign w:val="baseline"/>
              </w:rPr>
            </w:pPr>
          </w:p>
        </w:tc>
        <w:tc>
          <w:tcPr>
            <w:tcW w:w="777" w:type="dxa"/>
            <w:vMerge w:val="continue"/>
          </w:tcPr>
          <w:p w14:paraId="526CDDDB">
            <w:pPr>
              <w:jc w:val="center"/>
              <w:rPr>
                <w:vertAlign w:val="baseline"/>
              </w:rPr>
            </w:pPr>
          </w:p>
        </w:tc>
      </w:tr>
      <w:tr w14:paraId="337B3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54" w:type="dxa"/>
            <w:vMerge w:val="continue"/>
          </w:tcPr>
          <w:p w14:paraId="228A6C6D">
            <w:pPr>
              <w:jc w:val="center"/>
            </w:pPr>
          </w:p>
        </w:tc>
        <w:tc>
          <w:tcPr>
            <w:tcW w:w="1282" w:type="dxa"/>
            <w:vMerge w:val="continue"/>
          </w:tcPr>
          <w:p w14:paraId="32223DBB">
            <w:pPr>
              <w:jc w:val="center"/>
            </w:pPr>
          </w:p>
        </w:tc>
        <w:tc>
          <w:tcPr>
            <w:tcW w:w="1773" w:type="dxa"/>
            <w:vMerge w:val="continue"/>
            <w:tcBorders/>
          </w:tcPr>
          <w:p w14:paraId="1FD73F20">
            <w:pPr>
              <w:jc w:val="center"/>
            </w:pPr>
          </w:p>
        </w:tc>
        <w:tc>
          <w:tcPr>
            <w:tcW w:w="2891" w:type="dxa"/>
          </w:tcPr>
          <w:p w14:paraId="56CF35D7">
            <w:pPr>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南京市零模</w:t>
            </w:r>
          </w:p>
        </w:tc>
        <w:tc>
          <w:tcPr>
            <w:tcW w:w="845" w:type="dxa"/>
            <w:vMerge w:val="continue"/>
          </w:tcPr>
          <w:p w14:paraId="01AAEACA">
            <w:pPr>
              <w:jc w:val="center"/>
              <w:rPr>
                <w:rFonts w:hint="default" w:ascii="Calibri" w:hAnsi="Calibri" w:cs="Calibri"/>
                <w:sz w:val="21"/>
                <w:szCs w:val="21"/>
              </w:rPr>
            </w:pPr>
          </w:p>
        </w:tc>
        <w:tc>
          <w:tcPr>
            <w:tcW w:w="777" w:type="dxa"/>
            <w:vMerge w:val="continue"/>
          </w:tcPr>
          <w:p w14:paraId="63B75EF6">
            <w:pPr>
              <w:jc w:val="center"/>
              <w:rPr>
                <w:rFonts w:hint="default" w:ascii="Calibri" w:hAnsi="Calibri" w:cs="Calibri"/>
                <w:sz w:val="21"/>
                <w:szCs w:val="21"/>
              </w:rPr>
            </w:pPr>
          </w:p>
        </w:tc>
      </w:tr>
      <w:tr w14:paraId="5B4CF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54" w:type="dxa"/>
            <w:vMerge w:val="restart"/>
          </w:tcPr>
          <w:p w14:paraId="41500300">
            <w:pPr>
              <w:jc w:val="center"/>
              <w:rPr>
                <w:vertAlign w:val="baseline"/>
              </w:rPr>
            </w:pPr>
            <w:r>
              <w:rPr>
                <w:rFonts w:hint="eastAsia" w:ascii="宋体" w:hAnsi="宋体" w:eastAsia="宋体" w:cs="宋体"/>
                <w:sz w:val="21"/>
                <w:szCs w:val="21"/>
              </w:rPr>
              <w:t>第</w:t>
            </w:r>
            <w:r>
              <w:rPr>
                <w:rFonts w:hint="eastAsia" w:ascii="宋体" w:hAnsi="宋体" w:eastAsia="宋体" w:cs="宋体"/>
                <w:sz w:val="21"/>
                <w:szCs w:val="21"/>
                <w:lang w:val="en-US" w:eastAsia="zh-CN"/>
              </w:rPr>
              <w:t xml:space="preserve">4 </w:t>
            </w:r>
            <w:r>
              <w:rPr>
                <w:rFonts w:hint="eastAsia" w:ascii="宋体" w:hAnsi="宋体" w:eastAsia="宋体" w:cs="宋体"/>
                <w:sz w:val="21"/>
                <w:szCs w:val="21"/>
              </w:rPr>
              <w:t>周</w:t>
            </w:r>
          </w:p>
        </w:tc>
        <w:tc>
          <w:tcPr>
            <w:tcW w:w="1282" w:type="dxa"/>
            <w:vMerge w:val="restart"/>
          </w:tcPr>
          <w:p w14:paraId="0A92DF43">
            <w:pPr>
              <w:jc w:val="center"/>
              <w:rPr>
                <w:rFonts w:hint="default" w:eastAsiaTheme="minorEastAsia"/>
                <w:vertAlign w:val="baseline"/>
                <w:lang w:val="en-US" w:eastAsia="zh-CN"/>
              </w:rPr>
            </w:pPr>
            <w:r>
              <w:rPr>
                <w:rFonts w:hint="default" w:ascii="Calibri" w:hAnsi="Calibri" w:cs="Calibri"/>
                <w:sz w:val="21"/>
                <w:szCs w:val="21"/>
              </w:rPr>
              <w:t>9.</w:t>
            </w:r>
            <w:r>
              <w:rPr>
                <w:rFonts w:hint="eastAsia" w:ascii="Calibri" w:hAnsi="Calibri" w:cs="Calibri"/>
                <w:sz w:val="21"/>
                <w:szCs w:val="21"/>
                <w:lang w:val="en-US" w:eastAsia="zh-CN"/>
              </w:rPr>
              <w:t>23</w:t>
            </w:r>
            <w:r>
              <w:rPr>
                <w:rFonts w:hint="default" w:ascii="Calibri" w:hAnsi="Calibri" w:cs="Calibri"/>
                <w:sz w:val="21"/>
                <w:szCs w:val="21"/>
              </w:rPr>
              <w:t>-9.</w:t>
            </w:r>
            <w:r>
              <w:rPr>
                <w:rFonts w:hint="eastAsia" w:ascii="Calibri" w:hAnsi="Calibri" w:cs="Calibri"/>
                <w:sz w:val="21"/>
                <w:szCs w:val="21"/>
                <w:lang w:val="en-US" w:eastAsia="zh-CN"/>
              </w:rPr>
              <w:t>29</w:t>
            </w:r>
          </w:p>
        </w:tc>
        <w:tc>
          <w:tcPr>
            <w:tcW w:w="1773" w:type="dxa"/>
            <w:vMerge w:val="continue"/>
            <w:tcBorders/>
          </w:tcPr>
          <w:p w14:paraId="6B879C81">
            <w:pPr>
              <w:jc w:val="center"/>
              <w:rPr>
                <w:rFonts w:hint="default" w:eastAsiaTheme="minorEastAsia"/>
                <w:vertAlign w:val="baseline"/>
                <w:lang w:val="en-US" w:eastAsia="zh-CN"/>
              </w:rPr>
            </w:pPr>
          </w:p>
        </w:tc>
        <w:tc>
          <w:tcPr>
            <w:tcW w:w="2891" w:type="dxa"/>
          </w:tcPr>
          <w:p w14:paraId="6048B9BF">
            <w:pPr>
              <w:jc w:val="center"/>
              <w:rPr>
                <w:vertAlign w:val="baseline"/>
              </w:rPr>
            </w:pPr>
            <w:r>
              <w:rPr>
                <w:rFonts w:hint="eastAsia"/>
                <w:vertAlign w:val="baseline"/>
                <w:lang w:val="en-US" w:eastAsia="zh-CN"/>
              </w:rPr>
              <w:t>专题：卫星运动</w:t>
            </w:r>
          </w:p>
        </w:tc>
        <w:tc>
          <w:tcPr>
            <w:tcW w:w="845" w:type="dxa"/>
            <w:vMerge w:val="restart"/>
          </w:tcPr>
          <w:p w14:paraId="2A49D8E8">
            <w:pPr>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6</w:t>
            </w:r>
          </w:p>
        </w:tc>
        <w:tc>
          <w:tcPr>
            <w:tcW w:w="777" w:type="dxa"/>
            <w:vMerge w:val="restart"/>
          </w:tcPr>
          <w:p w14:paraId="364C66E0">
            <w:pPr>
              <w:jc w:val="center"/>
              <w:rPr>
                <w:rFonts w:hint="eastAsia"/>
                <w:vertAlign w:val="baseline"/>
                <w:lang w:val="en-US" w:eastAsia="zh-CN"/>
              </w:rPr>
            </w:pPr>
            <w:r>
              <w:rPr>
                <w:rFonts w:hint="eastAsia"/>
                <w:vertAlign w:val="baseline"/>
                <w:lang w:val="en-US" w:eastAsia="zh-CN"/>
              </w:rPr>
              <w:t>18</w:t>
            </w:r>
          </w:p>
          <w:p w14:paraId="0010F2BC">
            <w:pPr>
              <w:jc w:val="center"/>
              <w:rPr>
                <w:rFonts w:hint="default" w:ascii="Calibri" w:hAnsi="Calibri" w:cs="Calibri" w:eastAsiaTheme="minorEastAsia"/>
                <w:sz w:val="21"/>
                <w:szCs w:val="21"/>
                <w:lang w:val="en-US" w:eastAsia="zh-CN"/>
              </w:rPr>
            </w:pPr>
          </w:p>
        </w:tc>
      </w:tr>
      <w:tr w14:paraId="32365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954" w:type="dxa"/>
            <w:vMerge w:val="continue"/>
          </w:tcPr>
          <w:p w14:paraId="3AD92CA1">
            <w:pPr>
              <w:jc w:val="center"/>
            </w:pPr>
          </w:p>
        </w:tc>
        <w:tc>
          <w:tcPr>
            <w:tcW w:w="1282" w:type="dxa"/>
            <w:vMerge w:val="continue"/>
          </w:tcPr>
          <w:p w14:paraId="63643330">
            <w:pPr>
              <w:jc w:val="center"/>
            </w:pPr>
          </w:p>
        </w:tc>
        <w:tc>
          <w:tcPr>
            <w:tcW w:w="1773" w:type="dxa"/>
            <w:vMerge w:val="continue"/>
            <w:tcBorders/>
          </w:tcPr>
          <w:p w14:paraId="4C7D904D">
            <w:pPr>
              <w:jc w:val="center"/>
            </w:pPr>
          </w:p>
        </w:tc>
        <w:tc>
          <w:tcPr>
            <w:tcW w:w="2891" w:type="dxa"/>
          </w:tcPr>
          <w:p w14:paraId="05F78A16">
            <w:pPr>
              <w:jc w:val="center"/>
              <w:rPr>
                <w:rFonts w:hint="default" w:ascii="Calibri" w:hAnsi="Calibri" w:eastAsia="宋体" w:cs="Calibri"/>
                <w:sz w:val="21"/>
                <w:szCs w:val="21"/>
                <w:lang w:val="en-US" w:eastAsia="zh-CN"/>
              </w:rPr>
            </w:pPr>
            <w:r>
              <w:rPr>
                <w:rFonts w:hint="default" w:ascii="Calibri" w:hAnsi="Calibri" w:cs="Calibri"/>
                <w:sz w:val="21"/>
                <w:szCs w:val="21"/>
              </w:rPr>
              <w:t>1.</w:t>
            </w:r>
            <w:r>
              <w:rPr>
                <w:rFonts w:hint="eastAsia" w:ascii="宋体" w:hAnsi="宋体" w:eastAsia="宋体" w:cs="宋体"/>
                <w:sz w:val="21"/>
                <w:szCs w:val="21"/>
              </w:rPr>
              <w:t>功和功率</w:t>
            </w:r>
          </w:p>
        </w:tc>
        <w:tc>
          <w:tcPr>
            <w:tcW w:w="845" w:type="dxa"/>
            <w:vMerge w:val="continue"/>
            <w:tcBorders/>
          </w:tcPr>
          <w:p w14:paraId="0ED5524E">
            <w:pPr>
              <w:jc w:val="center"/>
              <w:rPr>
                <w:rFonts w:hint="eastAsia" w:ascii="Calibri" w:hAnsi="Calibri" w:cs="Calibri" w:eastAsiaTheme="minorEastAsia"/>
                <w:sz w:val="21"/>
                <w:szCs w:val="21"/>
                <w:lang w:val="en-US" w:eastAsia="zh-CN"/>
              </w:rPr>
            </w:pPr>
          </w:p>
        </w:tc>
        <w:tc>
          <w:tcPr>
            <w:tcW w:w="777" w:type="dxa"/>
            <w:vMerge w:val="continue"/>
            <w:tcBorders/>
          </w:tcPr>
          <w:p w14:paraId="18549D7C">
            <w:pPr>
              <w:jc w:val="center"/>
              <w:rPr>
                <w:rFonts w:hint="default" w:ascii="Calibri" w:hAnsi="Calibri" w:cs="Calibri" w:eastAsiaTheme="minorEastAsia"/>
                <w:sz w:val="21"/>
                <w:szCs w:val="21"/>
                <w:lang w:val="en-US" w:eastAsia="zh-CN"/>
              </w:rPr>
            </w:pPr>
          </w:p>
        </w:tc>
      </w:tr>
      <w:tr w14:paraId="6EA24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54" w:type="dxa"/>
            <w:vMerge w:val="continue"/>
          </w:tcPr>
          <w:p w14:paraId="4568F55B">
            <w:pPr>
              <w:jc w:val="center"/>
              <w:rPr>
                <w:rFonts w:hint="default" w:ascii="Calibri" w:hAnsi="Calibri" w:cs="Calibri"/>
                <w:sz w:val="21"/>
                <w:szCs w:val="21"/>
              </w:rPr>
            </w:pPr>
          </w:p>
        </w:tc>
        <w:tc>
          <w:tcPr>
            <w:tcW w:w="1282" w:type="dxa"/>
            <w:vMerge w:val="continue"/>
          </w:tcPr>
          <w:p w14:paraId="1DF41F25">
            <w:pPr>
              <w:jc w:val="center"/>
              <w:rPr>
                <w:rFonts w:hint="default" w:ascii="Calibri" w:hAnsi="Calibri" w:cs="Calibri"/>
                <w:sz w:val="21"/>
                <w:szCs w:val="21"/>
              </w:rPr>
            </w:pPr>
          </w:p>
        </w:tc>
        <w:tc>
          <w:tcPr>
            <w:tcW w:w="1773" w:type="dxa"/>
            <w:vMerge w:val="continue"/>
            <w:tcBorders/>
          </w:tcPr>
          <w:p w14:paraId="2271E966">
            <w:pPr>
              <w:jc w:val="center"/>
              <w:rPr>
                <w:rFonts w:hint="default" w:ascii="Calibri" w:hAnsi="Calibri" w:cs="Calibri"/>
                <w:sz w:val="21"/>
                <w:szCs w:val="21"/>
              </w:rPr>
            </w:pPr>
          </w:p>
        </w:tc>
        <w:tc>
          <w:tcPr>
            <w:tcW w:w="2891" w:type="dxa"/>
          </w:tcPr>
          <w:p w14:paraId="36AD3DDC">
            <w:pPr>
              <w:jc w:val="center"/>
              <w:rPr>
                <w:rFonts w:hint="default" w:ascii="Calibri" w:hAnsi="Calibri" w:cs="Calibri"/>
                <w:sz w:val="21"/>
                <w:szCs w:val="21"/>
              </w:rPr>
            </w:pPr>
            <w:r>
              <w:rPr>
                <w:rFonts w:hint="default" w:ascii="Calibri" w:hAnsi="Calibri" w:cs="Calibri"/>
                <w:sz w:val="21"/>
                <w:szCs w:val="21"/>
              </w:rPr>
              <w:t>2.</w:t>
            </w:r>
            <w:r>
              <w:rPr>
                <w:rFonts w:hint="eastAsia" w:ascii="宋体" w:hAnsi="宋体" w:eastAsia="宋体" w:cs="宋体"/>
                <w:sz w:val="21"/>
                <w:szCs w:val="21"/>
              </w:rPr>
              <w:t>动能定理</w:t>
            </w:r>
          </w:p>
        </w:tc>
        <w:tc>
          <w:tcPr>
            <w:tcW w:w="845" w:type="dxa"/>
            <w:vMerge w:val="continue"/>
            <w:tcBorders/>
          </w:tcPr>
          <w:p w14:paraId="3617C67F">
            <w:pPr>
              <w:jc w:val="center"/>
              <w:rPr>
                <w:rFonts w:hint="eastAsia" w:ascii="Calibri" w:hAnsi="Calibri" w:cs="Calibri" w:eastAsiaTheme="minorEastAsia"/>
                <w:sz w:val="21"/>
                <w:szCs w:val="21"/>
                <w:lang w:val="en-US" w:eastAsia="zh-CN"/>
              </w:rPr>
            </w:pPr>
          </w:p>
        </w:tc>
        <w:tc>
          <w:tcPr>
            <w:tcW w:w="777" w:type="dxa"/>
            <w:vMerge w:val="continue"/>
            <w:tcBorders/>
          </w:tcPr>
          <w:p w14:paraId="3DA3EE0A">
            <w:pPr>
              <w:jc w:val="center"/>
              <w:rPr>
                <w:rFonts w:hint="default" w:ascii="Calibri" w:hAnsi="Calibri" w:cs="Calibri" w:eastAsiaTheme="minorEastAsia"/>
                <w:sz w:val="21"/>
                <w:szCs w:val="21"/>
                <w:lang w:val="en-US" w:eastAsia="zh-CN"/>
              </w:rPr>
            </w:pPr>
          </w:p>
        </w:tc>
      </w:tr>
      <w:tr w14:paraId="2882D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54" w:type="dxa"/>
          </w:tcPr>
          <w:p w14:paraId="4C54273B">
            <w:pPr>
              <w:jc w:val="center"/>
              <w:rPr>
                <w:vertAlign w:val="baseline"/>
              </w:rPr>
            </w:pPr>
            <w:r>
              <w:rPr>
                <w:rFonts w:hint="eastAsia" w:ascii="宋体" w:hAnsi="宋体" w:eastAsia="宋体" w:cs="宋体"/>
                <w:sz w:val="21"/>
                <w:szCs w:val="21"/>
              </w:rPr>
              <w:t>第</w:t>
            </w:r>
            <w:r>
              <w:rPr>
                <w:rFonts w:hint="eastAsia" w:ascii="宋体" w:hAnsi="宋体" w:eastAsia="宋体" w:cs="宋体"/>
                <w:sz w:val="21"/>
                <w:szCs w:val="21"/>
                <w:lang w:val="en-US" w:eastAsia="zh-CN"/>
              </w:rPr>
              <w:t xml:space="preserve">5 </w:t>
            </w:r>
            <w:r>
              <w:rPr>
                <w:rFonts w:hint="eastAsia" w:ascii="宋体" w:hAnsi="宋体" w:eastAsia="宋体" w:cs="宋体"/>
                <w:sz w:val="21"/>
                <w:szCs w:val="21"/>
              </w:rPr>
              <w:t>周</w:t>
            </w:r>
          </w:p>
        </w:tc>
        <w:tc>
          <w:tcPr>
            <w:tcW w:w="1282" w:type="dxa"/>
          </w:tcPr>
          <w:p w14:paraId="148036DA">
            <w:pPr>
              <w:jc w:val="center"/>
              <w:rPr>
                <w:rFonts w:hint="default" w:eastAsiaTheme="minorEastAsia"/>
                <w:vertAlign w:val="baseline"/>
                <w:lang w:val="en-US" w:eastAsia="zh-CN"/>
              </w:rPr>
            </w:pPr>
            <w:r>
              <w:rPr>
                <w:rFonts w:hint="eastAsia"/>
                <w:vertAlign w:val="baseline"/>
                <w:lang w:val="en-US" w:eastAsia="zh-CN"/>
              </w:rPr>
              <w:t>9.30-10.6</w:t>
            </w:r>
          </w:p>
        </w:tc>
        <w:tc>
          <w:tcPr>
            <w:tcW w:w="1773" w:type="dxa"/>
            <w:vMerge w:val="continue"/>
            <w:tcBorders/>
          </w:tcPr>
          <w:p w14:paraId="08F3A101">
            <w:pPr>
              <w:jc w:val="center"/>
              <w:rPr>
                <w:vertAlign w:val="baseline"/>
              </w:rPr>
            </w:pPr>
          </w:p>
        </w:tc>
        <w:tc>
          <w:tcPr>
            <w:tcW w:w="2891" w:type="dxa"/>
          </w:tcPr>
          <w:p w14:paraId="131CDF1C">
            <w:pPr>
              <w:jc w:val="center"/>
              <w:rPr>
                <w:rFonts w:hint="default" w:eastAsiaTheme="minorEastAsia"/>
                <w:vertAlign w:val="baseline"/>
                <w:lang w:val="en-US" w:eastAsia="zh-CN"/>
              </w:rPr>
            </w:pPr>
            <w:r>
              <w:rPr>
                <w:rFonts w:hint="default" w:ascii="Calibri" w:hAnsi="Calibri" w:cs="Calibri"/>
                <w:sz w:val="21"/>
                <w:szCs w:val="21"/>
              </w:rPr>
              <w:t>3.</w:t>
            </w:r>
            <w:r>
              <w:rPr>
                <w:rFonts w:hint="eastAsia" w:ascii="宋体" w:hAnsi="宋体" w:eastAsia="宋体" w:cs="宋体"/>
                <w:sz w:val="21"/>
                <w:szCs w:val="21"/>
              </w:rPr>
              <w:t>机械能守恒定律</w:t>
            </w:r>
          </w:p>
        </w:tc>
        <w:tc>
          <w:tcPr>
            <w:tcW w:w="845" w:type="dxa"/>
          </w:tcPr>
          <w:p w14:paraId="5BACA5C3">
            <w:pPr>
              <w:jc w:val="center"/>
              <w:rPr>
                <w:rFonts w:hint="eastAsia" w:eastAsiaTheme="minorEastAsia"/>
                <w:vertAlign w:val="baseline"/>
                <w:lang w:val="en-US" w:eastAsia="zh-CN"/>
              </w:rPr>
            </w:pPr>
            <w:r>
              <w:rPr>
                <w:rFonts w:hint="eastAsia"/>
                <w:vertAlign w:val="baseline"/>
                <w:lang w:val="en-US" w:eastAsia="zh-CN"/>
              </w:rPr>
              <w:t>2</w:t>
            </w:r>
          </w:p>
        </w:tc>
        <w:tc>
          <w:tcPr>
            <w:tcW w:w="777" w:type="dxa"/>
            <w:tcBorders/>
          </w:tcPr>
          <w:p w14:paraId="45A3D277">
            <w:pPr>
              <w:jc w:val="center"/>
              <w:rPr>
                <w:rFonts w:hint="default" w:eastAsiaTheme="minorEastAsia"/>
                <w:vertAlign w:val="baseline"/>
                <w:lang w:val="en-US" w:eastAsia="zh-CN"/>
              </w:rPr>
            </w:pPr>
            <w:r>
              <w:rPr>
                <w:rFonts w:hint="eastAsia"/>
                <w:vertAlign w:val="baseline"/>
                <w:lang w:val="en-US" w:eastAsia="zh-CN"/>
              </w:rPr>
              <w:t>20</w:t>
            </w:r>
          </w:p>
        </w:tc>
      </w:tr>
      <w:tr w14:paraId="7D0FA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restart"/>
          </w:tcPr>
          <w:p w14:paraId="4783CADC">
            <w:pPr>
              <w:jc w:val="center"/>
              <w:rPr>
                <w:vertAlign w:val="baseline"/>
              </w:rPr>
            </w:pPr>
            <w:r>
              <w:rPr>
                <w:rFonts w:hint="eastAsia" w:ascii="宋体" w:hAnsi="宋体" w:eastAsia="宋体" w:cs="宋体"/>
                <w:sz w:val="21"/>
                <w:szCs w:val="21"/>
              </w:rPr>
              <w:t>第</w:t>
            </w:r>
            <w:r>
              <w:rPr>
                <w:rFonts w:hint="eastAsia" w:ascii="宋体" w:hAnsi="宋体" w:eastAsia="宋体" w:cs="宋体"/>
                <w:sz w:val="21"/>
                <w:szCs w:val="21"/>
                <w:lang w:val="en-US" w:eastAsia="zh-CN"/>
              </w:rPr>
              <w:t xml:space="preserve"> 6</w:t>
            </w:r>
            <w:r>
              <w:rPr>
                <w:rFonts w:hint="eastAsia" w:ascii="宋体" w:hAnsi="宋体" w:eastAsia="宋体" w:cs="宋体"/>
                <w:sz w:val="21"/>
                <w:szCs w:val="21"/>
              </w:rPr>
              <w:t>周</w:t>
            </w:r>
          </w:p>
        </w:tc>
        <w:tc>
          <w:tcPr>
            <w:tcW w:w="1282" w:type="dxa"/>
            <w:vMerge w:val="restart"/>
          </w:tcPr>
          <w:p w14:paraId="1F1975FB">
            <w:pPr>
              <w:jc w:val="center"/>
              <w:rPr>
                <w:rFonts w:hint="default" w:eastAsiaTheme="minorEastAsia"/>
                <w:vertAlign w:val="baseline"/>
                <w:lang w:val="en-US" w:eastAsia="zh-CN"/>
              </w:rPr>
            </w:pPr>
            <w:r>
              <w:rPr>
                <w:rFonts w:hint="eastAsia"/>
                <w:vertAlign w:val="baseline"/>
                <w:lang w:val="en-US" w:eastAsia="zh-CN"/>
              </w:rPr>
              <w:t>10.7-10.13</w:t>
            </w:r>
          </w:p>
        </w:tc>
        <w:tc>
          <w:tcPr>
            <w:tcW w:w="1773" w:type="dxa"/>
            <w:vMerge w:val="restart"/>
          </w:tcPr>
          <w:p w14:paraId="35FE97C1">
            <w:pPr>
              <w:jc w:val="center"/>
              <w:rPr>
                <w:rFonts w:hint="default" w:eastAsiaTheme="minorEastAsia"/>
                <w:vertAlign w:val="baseline"/>
                <w:lang w:val="en-US" w:eastAsia="zh-CN"/>
              </w:rPr>
            </w:pPr>
            <w:r>
              <w:rPr>
                <w:rFonts w:hint="eastAsia"/>
                <w:vertAlign w:val="baseline"/>
                <w:lang w:val="en-US" w:eastAsia="zh-CN"/>
              </w:rPr>
              <w:t>机械能守恒定律</w:t>
            </w:r>
          </w:p>
        </w:tc>
        <w:tc>
          <w:tcPr>
            <w:tcW w:w="2891" w:type="dxa"/>
          </w:tcPr>
          <w:p w14:paraId="05988B6B">
            <w:pPr>
              <w:jc w:val="center"/>
              <w:rPr>
                <w:vertAlign w:val="baseline"/>
              </w:rPr>
            </w:pPr>
            <w:r>
              <w:rPr>
                <w:rFonts w:hint="default" w:ascii="Calibri" w:hAnsi="Calibri" w:cs="Calibri"/>
                <w:sz w:val="21"/>
                <w:szCs w:val="21"/>
              </w:rPr>
              <w:t>4.</w:t>
            </w:r>
            <w:r>
              <w:rPr>
                <w:rFonts w:hint="eastAsia" w:ascii="宋体" w:hAnsi="宋体" w:eastAsia="宋体" w:cs="宋体"/>
                <w:sz w:val="21"/>
                <w:szCs w:val="21"/>
              </w:rPr>
              <w:t>功能关系能量守恒定律</w:t>
            </w:r>
          </w:p>
        </w:tc>
        <w:tc>
          <w:tcPr>
            <w:tcW w:w="845" w:type="dxa"/>
            <w:vMerge w:val="restart"/>
          </w:tcPr>
          <w:p w14:paraId="0686F318">
            <w:pPr>
              <w:jc w:val="center"/>
              <w:rPr>
                <w:rFonts w:hint="default"/>
                <w:vertAlign w:val="baseline"/>
                <w:lang w:val="en-US" w:eastAsia="zh-CN"/>
              </w:rPr>
            </w:pPr>
            <w:r>
              <w:rPr>
                <w:rFonts w:hint="eastAsia"/>
                <w:vertAlign w:val="baseline"/>
                <w:lang w:val="en-US" w:eastAsia="zh-CN"/>
              </w:rPr>
              <w:t>6</w:t>
            </w:r>
          </w:p>
        </w:tc>
        <w:tc>
          <w:tcPr>
            <w:tcW w:w="777" w:type="dxa"/>
            <w:vMerge w:val="restart"/>
          </w:tcPr>
          <w:p w14:paraId="54899576">
            <w:pPr>
              <w:jc w:val="center"/>
              <w:rPr>
                <w:rFonts w:hint="default" w:eastAsiaTheme="minorEastAsia"/>
                <w:vertAlign w:val="baseline"/>
                <w:lang w:val="en-US" w:eastAsia="zh-CN"/>
              </w:rPr>
            </w:pPr>
            <w:r>
              <w:rPr>
                <w:rFonts w:hint="eastAsia"/>
                <w:vertAlign w:val="baseline"/>
                <w:lang w:val="en-US" w:eastAsia="zh-CN"/>
              </w:rPr>
              <w:t>26</w:t>
            </w:r>
          </w:p>
        </w:tc>
      </w:tr>
      <w:tr w14:paraId="006C8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4" w:type="dxa"/>
            <w:vMerge w:val="continue"/>
            <w:tcBorders/>
          </w:tcPr>
          <w:p w14:paraId="51092684">
            <w:pPr>
              <w:jc w:val="center"/>
              <w:rPr>
                <w:rFonts w:hint="eastAsia" w:ascii="宋体" w:hAnsi="宋体" w:eastAsia="宋体" w:cs="宋体"/>
                <w:sz w:val="21"/>
                <w:szCs w:val="21"/>
              </w:rPr>
            </w:pPr>
          </w:p>
        </w:tc>
        <w:tc>
          <w:tcPr>
            <w:tcW w:w="1282" w:type="dxa"/>
            <w:vMerge w:val="continue"/>
            <w:tcBorders/>
          </w:tcPr>
          <w:p w14:paraId="09644088">
            <w:pPr>
              <w:jc w:val="center"/>
              <w:rPr>
                <w:rFonts w:hint="eastAsia"/>
                <w:vertAlign w:val="baseline"/>
                <w:lang w:val="en-US" w:eastAsia="zh-CN"/>
              </w:rPr>
            </w:pPr>
          </w:p>
        </w:tc>
        <w:tc>
          <w:tcPr>
            <w:tcW w:w="1773" w:type="dxa"/>
            <w:vMerge w:val="continue"/>
          </w:tcPr>
          <w:p w14:paraId="141ED8E1">
            <w:pPr>
              <w:jc w:val="center"/>
              <w:rPr>
                <w:vertAlign w:val="baseline"/>
              </w:rPr>
            </w:pPr>
          </w:p>
        </w:tc>
        <w:tc>
          <w:tcPr>
            <w:tcW w:w="2891" w:type="dxa"/>
          </w:tcPr>
          <w:p w14:paraId="305CA902">
            <w:pPr>
              <w:jc w:val="center"/>
              <w:rPr>
                <w:rFonts w:hint="default" w:ascii="Calibri" w:hAnsi="Calibri" w:cs="Calibri"/>
                <w:sz w:val="21"/>
                <w:szCs w:val="21"/>
              </w:rPr>
            </w:pPr>
            <w:r>
              <w:rPr>
                <w:rFonts w:hint="eastAsia" w:ascii="Calibri" w:hAnsi="Calibri" w:cs="Calibri"/>
                <w:sz w:val="21"/>
                <w:szCs w:val="21"/>
                <w:lang w:val="en-US" w:eastAsia="zh-CN"/>
              </w:rPr>
              <w:t>实验 验证机械能守恒定律</w:t>
            </w:r>
          </w:p>
        </w:tc>
        <w:tc>
          <w:tcPr>
            <w:tcW w:w="845" w:type="dxa"/>
            <w:vMerge w:val="continue"/>
            <w:tcBorders/>
          </w:tcPr>
          <w:p w14:paraId="62A9002D">
            <w:pPr>
              <w:jc w:val="center"/>
              <w:rPr>
                <w:rFonts w:hint="eastAsia"/>
                <w:vertAlign w:val="baseline"/>
                <w:lang w:val="en-US" w:eastAsia="zh-CN"/>
              </w:rPr>
            </w:pPr>
          </w:p>
        </w:tc>
        <w:tc>
          <w:tcPr>
            <w:tcW w:w="777" w:type="dxa"/>
            <w:vMerge w:val="continue"/>
            <w:tcBorders/>
          </w:tcPr>
          <w:p w14:paraId="403DE811">
            <w:pPr>
              <w:jc w:val="center"/>
              <w:rPr>
                <w:vertAlign w:val="baseline"/>
              </w:rPr>
            </w:pPr>
          </w:p>
        </w:tc>
      </w:tr>
      <w:tr w14:paraId="5DEFC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54" w:type="dxa"/>
            <w:vMerge w:val="continue"/>
            <w:tcBorders/>
          </w:tcPr>
          <w:p w14:paraId="14E6464A">
            <w:pPr>
              <w:jc w:val="center"/>
            </w:pPr>
          </w:p>
        </w:tc>
        <w:tc>
          <w:tcPr>
            <w:tcW w:w="1282" w:type="dxa"/>
            <w:vMerge w:val="continue"/>
            <w:tcBorders/>
          </w:tcPr>
          <w:p w14:paraId="0B4F81A0">
            <w:pPr>
              <w:jc w:val="center"/>
            </w:pPr>
          </w:p>
        </w:tc>
        <w:tc>
          <w:tcPr>
            <w:tcW w:w="1773" w:type="dxa"/>
            <w:vMerge w:val="continue"/>
          </w:tcPr>
          <w:p w14:paraId="4A7EC06D">
            <w:pPr>
              <w:jc w:val="center"/>
            </w:pPr>
          </w:p>
        </w:tc>
        <w:tc>
          <w:tcPr>
            <w:tcW w:w="2891" w:type="dxa"/>
            <w:tcBorders/>
          </w:tcPr>
          <w:p w14:paraId="4BA64F2D">
            <w:pPr>
              <w:jc w:val="center"/>
              <w:rPr>
                <w:rFonts w:hint="eastAsia" w:ascii="Calibri" w:hAnsi="Calibri" w:cs="Calibri"/>
                <w:sz w:val="21"/>
                <w:szCs w:val="21"/>
                <w:lang w:val="en-US" w:eastAsia="zh-CN"/>
              </w:rPr>
            </w:pPr>
            <w:r>
              <w:rPr>
                <w:rFonts w:hint="default" w:ascii="Calibri" w:hAnsi="Calibri" w:cs="Calibri"/>
                <w:sz w:val="21"/>
                <w:szCs w:val="21"/>
              </w:rPr>
              <w:t>1.</w:t>
            </w:r>
            <w:r>
              <w:rPr>
                <w:rFonts w:hint="eastAsia" w:ascii="宋体" w:hAnsi="宋体" w:eastAsia="宋体" w:cs="宋体"/>
                <w:sz w:val="21"/>
                <w:szCs w:val="21"/>
              </w:rPr>
              <w:t>动量 冲量 动量定理</w:t>
            </w:r>
          </w:p>
        </w:tc>
        <w:tc>
          <w:tcPr>
            <w:tcW w:w="845" w:type="dxa"/>
            <w:vMerge w:val="continue"/>
            <w:tcBorders/>
          </w:tcPr>
          <w:p w14:paraId="691E76D4">
            <w:pPr>
              <w:jc w:val="center"/>
              <w:rPr>
                <w:rFonts w:hint="eastAsia" w:ascii="Calibri" w:hAnsi="Calibri" w:cs="Calibri"/>
                <w:sz w:val="21"/>
                <w:szCs w:val="21"/>
                <w:lang w:val="en-US" w:eastAsia="zh-CN"/>
              </w:rPr>
            </w:pPr>
          </w:p>
        </w:tc>
        <w:tc>
          <w:tcPr>
            <w:tcW w:w="777" w:type="dxa"/>
            <w:vMerge w:val="continue"/>
            <w:tcBorders/>
          </w:tcPr>
          <w:p w14:paraId="388533A4">
            <w:pPr>
              <w:jc w:val="center"/>
              <w:rPr>
                <w:rFonts w:hint="eastAsia" w:ascii="Calibri" w:hAnsi="Calibri" w:cs="Calibri"/>
                <w:sz w:val="21"/>
                <w:szCs w:val="21"/>
                <w:lang w:val="en-US" w:eastAsia="zh-CN"/>
              </w:rPr>
            </w:pPr>
          </w:p>
        </w:tc>
      </w:tr>
      <w:tr w14:paraId="63C38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54" w:type="dxa"/>
            <w:vMerge w:val="restart"/>
          </w:tcPr>
          <w:p w14:paraId="330F208C">
            <w:pPr>
              <w:jc w:val="center"/>
              <w:rPr>
                <w:vertAlign w:val="baseline"/>
              </w:rPr>
            </w:pPr>
            <w:r>
              <w:rPr>
                <w:rFonts w:hint="eastAsia" w:ascii="宋体" w:hAnsi="宋体" w:eastAsia="宋体" w:cs="宋体"/>
                <w:sz w:val="21"/>
                <w:szCs w:val="21"/>
              </w:rPr>
              <w:t>第</w:t>
            </w:r>
            <w:r>
              <w:rPr>
                <w:rFonts w:hint="eastAsia" w:ascii="宋体" w:hAnsi="宋体" w:eastAsia="宋体" w:cs="宋体"/>
                <w:sz w:val="21"/>
                <w:szCs w:val="21"/>
                <w:lang w:val="en-US" w:eastAsia="zh-CN"/>
              </w:rPr>
              <w:t xml:space="preserve"> 7</w:t>
            </w:r>
            <w:r>
              <w:rPr>
                <w:rFonts w:hint="eastAsia" w:ascii="宋体" w:hAnsi="宋体" w:eastAsia="宋体" w:cs="宋体"/>
                <w:sz w:val="21"/>
                <w:szCs w:val="21"/>
              </w:rPr>
              <w:t>周</w:t>
            </w:r>
          </w:p>
        </w:tc>
        <w:tc>
          <w:tcPr>
            <w:tcW w:w="1282" w:type="dxa"/>
            <w:vMerge w:val="restart"/>
          </w:tcPr>
          <w:p w14:paraId="7131CE8C">
            <w:pPr>
              <w:jc w:val="center"/>
              <w:rPr>
                <w:rFonts w:hint="default" w:eastAsiaTheme="minorEastAsia"/>
                <w:vertAlign w:val="baseline"/>
                <w:lang w:val="en-US" w:eastAsia="zh-CN"/>
              </w:rPr>
            </w:pPr>
            <w:r>
              <w:rPr>
                <w:rFonts w:hint="eastAsia"/>
                <w:vertAlign w:val="baseline"/>
                <w:lang w:val="en-US" w:eastAsia="zh-CN"/>
              </w:rPr>
              <w:t>10.14-10.20</w:t>
            </w:r>
          </w:p>
        </w:tc>
        <w:tc>
          <w:tcPr>
            <w:tcW w:w="1773" w:type="dxa"/>
            <w:vMerge w:val="continue"/>
          </w:tcPr>
          <w:p w14:paraId="6067F297">
            <w:pPr>
              <w:jc w:val="center"/>
              <w:rPr>
                <w:vertAlign w:val="baseline"/>
              </w:rPr>
            </w:pPr>
          </w:p>
        </w:tc>
        <w:tc>
          <w:tcPr>
            <w:tcW w:w="2891" w:type="dxa"/>
          </w:tcPr>
          <w:p w14:paraId="0ECEC689">
            <w:pPr>
              <w:jc w:val="center"/>
              <w:rPr>
                <w:vertAlign w:val="baseline"/>
              </w:rPr>
            </w:pPr>
            <w:r>
              <w:rPr>
                <w:rFonts w:hint="default" w:ascii="Calibri" w:hAnsi="Calibri" w:cs="Calibri"/>
                <w:sz w:val="21"/>
                <w:szCs w:val="21"/>
              </w:rPr>
              <w:t>2.</w:t>
            </w:r>
            <w:r>
              <w:rPr>
                <w:rFonts w:hint="eastAsia" w:ascii="宋体" w:hAnsi="宋体" w:eastAsia="宋体" w:cs="宋体"/>
                <w:sz w:val="21"/>
                <w:szCs w:val="21"/>
              </w:rPr>
              <w:t>动量守恒定律及应用</w:t>
            </w:r>
          </w:p>
        </w:tc>
        <w:tc>
          <w:tcPr>
            <w:tcW w:w="845" w:type="dxa"/>
            <w:vMerge w:val="restart"/>
          </w:tcPr>
          <w:p w14:paraId="2210204B">
            <w:pPr>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6</w:t>
            </w:r>
          </w:p>
        </w:tc>
        <w:tc>
          <w:tcPr>
            <w:tcW w:w="777" w:type="dxa"/>
            <w:vMerge w:val="restart"/>
          </w:tcPr>
          <w:p w14:paraId="34232450">
            <w:pPr>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29</w:t>
            </w:r>
          </w:p>
        </w:tc>
      </w:tr>
      <w:tr w14:paraId="6F012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954" w:type="dxa"/>
            <w:vMerge w:val="continue"/>
          </w:tcPr>
          <w:p w14:paraId="41912ED2">
            <w:pPr>
              <w:jc w:val="center"/>
            </w:pPr>
          </w:p>
        </w:tc>
        <w:tc>
          <w:tcPr>
            <w:tcW w:w="1282" w:type="dxa"/>
            <w:vMerge w:val="continue"/>
          </w:tcPr>
          <w:p w14:paraId="7F68113F">
            <w:pPr>
              <w:jc w:val="center"/>
            </w:pPr>
          </w:p>
        </w:tc>
        <w:tc>
          <w:tcPr>
            <w:tcW w:w="1773" w:type="dxa"/>
            <w:vMerge w:val="continue"/>
          </w:tcPr>
          <w:p w14:paraId="7EE48EA4">
            <w:pPr>
              <w:jc w:val="center"/>
            </w:pPr>
          </w:p>
        </w:tc>
        <w:tc>
          <w:tcPr>
            <w:tcW w:w="2891" w:type="dxa"/>
          </w:tcPr>
          <w:p w14:paraId="5A974DB6">
            <w:pPr>
              <w:jc w:val="center"/>
              <w:rPr>
                <w:rFonts w:hint="default" w:ascii="Calibri" w:hAnsi="Calibri" w:cs="Calibri"/>
                <w:sz w:val="21"/>
                <w:szCs w:val="21"/>
              </w:rPr>
            </w:pPr>
            <w:r>
              <w:rPr>
                <w:rFonts w:hint="eastAsia" w:ascii="Calibri" w:hAnsi="Calibri" w:cs="Calibri"/>
                <w:sz w:val="21"/>
                <w:szCs w:val="21"/>
                <w:lang w:val="en-US" w:eastAsia="zh-CN"/>
              </w:rPr>
              <w:t>3碰撞模型</w:t>
            </w:r>
          </w:p>
        </w:tc>
        <w:tc>
          <w:tcPr>
            <w:tcW w:w="845" w:type="dxa"/>
            <w:vMerge w:val="continue"/>
            <w:tcBorders/>
          </w:tcPr>
          <w:p w14:paraId="24636B5C">
            <w:pPr>
              <w:jc w:val="center"/>
              <w:rPr>
                <w:rFonts w:hint="eastAsia" w:ascii="Calibri" w:hAnsi="Calibri" w:cs="Calibri" w:eastAsiaTheme="minorEastAsia"/>
                <w:sz w:val="21"/>
                <w:szCs w:val="21"/>
                <w:lang w:val="en-US" w:eastAsia="zh-CN"/>
              </w:rPr>
            </w:pPr>
          </w:p>
        </w:tc>
        <w:tc>
          <w:tcPr>
            <w:tcW w:w="777" w:type="dxa"/>
            <w:vMerge w:val="continue"/>
            <w:tcBorders/>
          </w:tcPr>
          <w:p w14:paraId="201D117F">
            <w:pPr>
              <w:jc w:val="center"/>
              <w:rPr>
                <w:rFonts w:hint="default" w:ascii="Calibri" w:hAnsi="Calibri" w:cs="Calibri" w:eastAsiaTheme="minorEastAsia"/>
                <w:sz w:val="21"/>
                <w:szCs w:val="21"/>
                <w:lang w:val="en-US" w:eastAsia="zh-CN"/>
              </w:rPr>
            </w:pPr>
          </w:p>
        </w:tc>
      </w:tr>
      <w:tr w14:paraId="2C0EB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954" w:type="dxa"/>
            <w:vMerge w:val="continue"/>
          </w:tcPr>
          <w:p w14:paraId="58068C75">
            <w:pPr>
              <w:jc w:val="center"/>
            </w:pPr>
          </w:p>
        </w:tc>
        <w:tc>
          <w:tcPr>
            <w:tcW w:w="1282" w:type="dxa"/>
            <w:vMerge w:val="continue"/>
          </w:tcPr>
          <w:p w14:paraId="7E861AF9">
            <w:pPr>
              <w:jc w:val="center"/>
            </w:pPr>
          </w:p>
        </w:tc>
        <w:tc>
          <w:tcPr>
            <w:tcW w:w="1773" w:type="dxa"/>
            <w:vMerge w:val="continue"/>
          </w:tcPr>
          <w:p w14:paraId="5A2B8056">
            <w:pPr>
              <w:jc w:val="center"/>
            </w:pPr>
          </w:p>
        </w:tc>
        <w:tc>
          <w:tcPr>
            <w:tcW w:w="2891" w:type="dxa"/>
          </w:tcPr>
          <w:p w14:paraId="06CDE856">
            <w:pPr>
              <w:jc w:val="center"/>
              <w:rPr>
                <w:rFonts w:hint="eastAsia" w:ascii="Calibri" w:hAnsi="Calibri" w:cs="Calibri"/>
                <w:sz w:val="21"/>
                <w:szCs w:val="21"/>
                <w:lang w:val="en-US" w:eastAsia="zh-CN"/>
              </w:rPr>
            </w:pPr>
            <w:r>
              <w:rPr>
                <w:rFonts w:hint="eastAsia" w:ascii="宋体" w:hAnsi="宋体" w:eastAsia="宋体" w:cs="宋体"/>
                <w:sz w:val="21"/>
                <w:szCs w:val="21"/>
                <w:lang w:val="en-US" w:eastAsia="zh-CN"/>
              </w:rPr>
              <w:t>实验：验证动量守恒定律</w:t>
            </w:r>
          </w:p>
        </w:tc>
        <w:tc>
          <w:tcPr>
            <w:tcW w:w="845" w:type="dxa"/>
            <w:vMerge w:val="continue"/>
            <w:tcBorders/>
          </w:tcPr>
          <w:p w14:paraId="08F3DED1">
            <w:pPr>
              <w:jc w:val="center"/>
              <w:rPr>
                <w:rFonts w:hint="eastAsia" w:ascii="Calibri" w:hAnsi="Calibri" w:cs="Calibri"/>
                <w:sz w:val="21"/>
                <w:szCs w:val="21"/>
                <w:lang w:val="en-US" w:eastAsia="zh-CN"/>
              </w:rPr>
            </w:pPr>
          </w:p>
        </w:tc>
        <w:tc>
          <w:tcPr>
            <w:tcW w:w="777" w:type="dxa"/>
            <w:vMerge w:val="continue"/>
            <w:tcBorders/>
          </w:tcPr>
          <w:p w14:paraId="4FADEFD5">
            <w:pPr>
              <w:jc w:val="center"/>
              <w:rPr>
                <w:rFonts w:hint="eastAsia" w:ascii="Calibri" w:hAnsi="Calibri" w:cs="Calibri"/>
                <w:sz w:val="21"/>
                <w:szCs w:val="21"/>
                <w:lang w:val="en-US" w:eastAsia="zh-CN"/>
              </w:rPr>
            </w:pPr>
          </w:p>
        </w:tc>
      </w:tr>
      <w:tr w14:paraId="476E9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954" w:type="dxa"/>
            <w:vMerge w:val="continue"/>
          </w:tcPr>
          <w:p w14:paraId="15B8BBC9">
            <w:pPr>
              <w:jc w:val="center"/>
              <w:rPr>
                <w:rFonts w:hint="eastAsia" w:ascii="Calibri" w:hAnsi="Calibri" w:cs="Calibri"/>
                <w:sz w:val="21"/>
                <w:szCs w:val="21"/>
                <w:lang w:val="en-US" w:eastAsia="zh-CN"/>
              </w:rPr>
            </w:pPr>
          </w:p>
        </w:tc>
        <w:tc>
          <w:tcPr>
            <w:tcW w:w="1282" w:type="dxa"/>
            <w:vMerge w:val="continue"/>
          </w:tcPr>
          <w:p w14:paraId="166A44CC">
            <w:pPr>
              <w:jc w:val="center"/>
              <w:rPr>
                <w:rFonts w:hint="eastAsia" w:ascii="Calibri" w:hAnsi="Calibri" w:cs="Calibri"/>
                <w:sz w:val="21"/>
                <w:szCs w:val="21"/>
                <w:lang w:val="en-US" w:eastAsia="zh-CN"/>
              </w:rPr>
            </w:pPr>
          </w:p>
        </w:tc>
        <w:tc>
          <w:tcPr>
            <w:tcW w:w="1773" w:type="dxa"/>
            <w:vMerge w:val="continue"/>
          </w:tcPr>
          <w:p w14:paraId="172471B8">
            <w:pPr>
              <w:jc w:val="center"/>
              <w:rPr>
                <w:rFonts w:hint="eastAsia" w:ascii="Calibri" w:hAnsi="Calibri" w:cs="Calibri"/>
                <w:sz w:val="21"/>
                <w:szCs w:val="21"/>
                <w:lang w:val="en-US" w:eastAsia="zh-CN"/>
              </w:rPr>
            </w:pPr>
          </w:p>
        </w:tc>
        <w:tc>
          <w:tcPr>
            <w:tcW w:w="2891" w:type="dxa"/>
          </w:tcPr>
          <w:p w14:paraId="43429D48">
            <w:pPr>
              <w:jc w:val="center"/>
              <w:rPr>
                <w:rFonts w:hint="eastAsia" w:ascii="Calibri" w:hAnsi="Calibri" w:cs="Calibri"/>
                <w:sz w:val="21"/>
                <w:szCs w:val="21"/>
                <w:lang w:val="en-US" w:eastAsia="zh-CN"/>
              </w:rPr>
            </w:pPr>
            <w:r>
              <w:rPr>
                <w:rFonts w:hint="eastAsia"/>
                <w:vertAlign w:val="baseline"/>
                <w:lang w:val="en-US" w:eastAsia="zh-CN"/>
              </w:rPr>
              <w:t>1.机械振动</w:t>
            </w:r>
          </w:p>
        </w:tc>
        <w:tc>
          <w:tcPr>
            <w:tcW w:w="845" w:type="dxa"/>
            <w:vMerge w:val="continue"/>
            <w:tcBorders/>
          </w:tcPr>
          <w:p w14:paraId="79ED27DB">
            <w:pPr>
              <w:jc w:val="center"/>
              <w:rPr>
                <w:rFonts w:hint="eastAsia" w:ascii="Calibri" w:hAnsi="Calibri" w:cs="Calibri"/>
                <w:sz w:val="21"/>
                <w:szCs w:val="21"/>
                <w:lang w:val="en-US" w:eastAsia="zh-CN"/>
              </w:rPr>
            </w:pPr>
          </w:p>
        </w:tc>
        <w:tc>
          <w:tcPr>
            <w:tcW w:w="777" w:type="dxa"/>
            <w:vMerge w:val="continue"/>
            <w:tcBorders/>
          </w:tcPr>
          <w:p w14:paraId="11021D17">
            <w:pPr>
              <w:jc w:val="center"/>
              <w:rPr>
                <w:rFonts w:hint="eastAsia" w:ascii="Calibri" w:hAnsi="Calibri" w:cs="Calibri"/>
                <w:sz w:val="21"/>
                <w:szCs w:val="21"/>
                <w:lang w:val="en-US" w:eastAsia="zh-CN"/>
              </w:rPr>
            </w:pPr>
          </w:p>
        </w:tc>
      </w:tr>
      <w:tr w14:paraId="5919A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954" w:type="dxa"/>
            <w:vMerge w:val="restart"/>
          </w:tcPr>
          <w:p w14:paraId="4DCACA59">
            <w:pPr>
              <w:jc w:val="center"/>
              <w:rPr>
                <w:vertAlign w:val="baseline"/>
              </w:rPr>
            </w:pPr>
            <w:r>
              <w:rPr>
                <w:rFonts w:hint="eastAsia" w:ascii="宋体" w:hAnsi="宋体" w:eastAsia="宋体" w:cs="宋体"/>
                <w:sz w:val="21"/>
                <w:szCs w:val="21"/>
              </w:rPr>
              <w:t>第</w:t>
            </w:r>
            <w:r>
              <w:rPr>
                <w:rFonts w:hint="eastAsia" w:ascii="宋体" w:hAnsi="宋体" w:eastAsia="宋体" w:cs="宋体"/>
                <w:sz w:val="21"/>
                <w:szCs w:val="21"/>
                <w:lang w:val="en-US" w:eastAsia="zh-CN"/>
              </w:rPr>
              <w:t xml:space="preserve">8 </w:t>
            </w:r>
            <w:r>
              <w:rPr>
                <w:rFonts w:hint="eastAsia" w:ascii="宋体" w:hAnsi="宋体" w:eastAsia="宋体" w:cs="宋体"/>
                <w:sz w:val="21"/>
                <w:szCs w:val="21"/>
              </w:rPr>
              <w:t>周</w:t>
            </w:r>
          </w:p>
        </w:tc>
        <w:tc>
          <w:tcPr>
            <w:tcW w:w="1282" w:type="dxa"/>
            <w:vMerge w:val="restart"/>
          </w:tcPr>
          <w:p w14:paraId="47B83B67">
            <w:pPr>
              <w:jc w:val="center"/>
              <w:rPr>
                <w:rFonts w:hint="default" w:eastAsiaTheme="minorEastAsia"/>
                <w:vertAlign w:val="baseline"/>
                <w:lang w:val="en-US" w:eastAsia="zh-CN"/>
              </w:rPr>
            </w:pPr>
            <w:r>
              <w:rPr>
                <w:rFonts w:hint="eastAsia"/>
                <w:vertAlign w:val="baseline"/>
                <w:lang w:val="en-US" w:eastAsia="zh-CN"/>
              </w:rPr>
              <w:t>10.21-10.27</w:t>
            </w:r>
          </w:p>
        </w:tc>
        <w:tc>
          <w:tcPr>
            <w:tcW w:w="1773" w:type="dxa"/>
            <w:vMerge w:val="restart"/>
          </w:tcPr>
          <w:p w14:paraId="3BC2C48A">
            <w:pPr>
              <w:numPr>
                <w:ilvl w:val="0"/>
                <w:numId w:val="1"/>
              </w:numPr>
              <w:jc w:val="center"/>
              <w:rPr>
                <w:rFonts w:hint="eastAsia" w:ascii="宋体" w:hAnsi="宋体" w:eastAsia="宋体" w:cs="宋体"/>
                <w:sz w:val="21"/>
                <w:szCs w:val="21"/>
                <w:lang w:val="en-US" w:eastAsia="zh-CN"/>
              </w:rPr>
            </w:pPr>
            <w:r>
              <w:rPr>
                <w:rFonts w:hint="eastAsia" w:ascii="宋体" w:hAnsi="宋体" w:eastAsia="宋体" w:cs="宋体"/>
                <w:sz w:val="21"/>
                <w:szCs w:val="21"/>
              </w:rPr>
              <w:t>动量</w:t>
            </w:r>
            <w:r>
              <w:rPr>
                <w:rFonts w:hint="eastAsia" w:ascii="宋体" w:hAnsi="宋体" w:eastAsia="宋体" w:cs="宋体"/>
                <w:sz w:val="21"/>
                <w:szCs w:val="21"/>
                <w:lang w:val="en-US" w:eastAsia="zh-CN"/>
              </w:rPr>
              <w:t>守恒定律</w:t>
            </w:r>
          </w:p>
          <w:p w14:paraId="709D777C">
            <w:pPr>
              <w:widowControl w:val="0"/>
              <w:numPr>
                <w:ilvl w:val="0"/>
                <w:numId w:val="0"/>
              </w:numPr>
              <w:jc w:val="center"/>
              <w:rPr>
                <w:rFonts w:hint="default" w:ascii="宋体" w:hAnsi="宋体" w:eastAsia="宋体" w:cs="宋体"/>
                <w:sz w:val="21"/>
                <w:szCs w:val="21"/>
                <w:lang w:val="en-US" w:eastAsia="zh-CN"/>
              </w:rPr>
            </w:pPr>
          </w:p>
          <w:p w14:paraId="1AE64034">
            <w:pPr>
              <w:widowControl w:val="0"/>
              <w:numPr>
                <w:ilvl w:val="0"/>
                <w:numId w:val="0"/>
              </w:numPr>
              <w:jc w:val="center"/>
              <w:rPr>
                <w:rFonts w:hint="default" w:ascii="宋体" w:hAnsi="宋体" w:eastAsia="宋体" w:cs="宋体"/>
                <w:sz w:val="21"/>
                <w:szCs w:val="21"/>
                <w:lang w:val="en-US" w:eastAsia="zh-CN"/>
              </w:rPr>
            </w:pPr>
          </w:p>
          <w:p w14:paraId="79B4C3F6">
            <w:pPr>
              <w:widowControl w:val="0"/>
              <w:numPr>
                <w:ilvl w:val="0"/>
                <w:numId w:val="0"/>
              </w:numPr>
              <w:jc w:val="center"/>
              <w:rPr>
                <w:rFonts w:hint="default" w:ascii="宋体" w:hAnsi="宋体" w:eastAsia="宋体" w:cs="宋体"/>
                <w:sz w:val="21"/>
                <w:szCs w:val="21"/>
                <w:lang w:val="en-US" w:eastAsia="zh-CN"/>
              </w:rPr>
            </w:pPr>
          </w:p>
          <w:p w14:paraId="1B184E12">
            <w:pPr>
              <w:jc w:val="center"/>
              <w:rPr>
                <w:rFonts w:hint="eastAsia"/>
                <w:vertAlign w:val="baseline"/>
                <w:lang w:val="en-US" w:eastAsia="zh-CN"/>
              </w:rPr>
            </w:pPr>
            <w:r>
              <w:rPr>
                <w:rFonts w:hint="eastAsia"/>
                <w:vertAlign w:val="baseline"/>
                <w:lang w:val="en-US" w:eastAsia="zh-CN"/>
              </w:rPr>
              <w:t>第7章 机械振动 机械波</w:t>
            </w:r>
          </w:p>
        </w:tc>
        <w:tc>
          <w:tcPr>
            <w:tcW w:w="2891" w:type="dxa"/>
            <w:vAlign w:val="center"/>
          </w:tcPr>
          <w:p w14:paraId="5F9F7E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default" w:asciiTheme="minorHAnsi" w:hAnsiTheme="minorHAnsi" w:eastAsiaTheme="minorEastAsia" w:cstheme="minorBidi"/>
                <w:kern w:val="0"/>
                <w:sz w:val="21"/>
                <w:szCs w:val="21"/>
                <w:lang w:val="en-US" w:eastAsia="zh-CN" w:bidi="ar"/>
              </w:rPr>
            </w:pPr>
            <w:r>
              <w:rPr>
                <w:rFonts w:hint="eastAsia"/>
                <w:vertAlign w:val="baseline"/>
                <w:lang w:val="en-US" w:eastAsia="zh-CN"/>
              </w:rPr>
              <w:t>实验：探究周期与摆长的关系</w:t>
            </w:r>
          </w:p>
        </w:tc>
        <w:tc>
          <w:tcPr>
            <w:tcW w:w="845" w:type="dxa"/>
            <w:vMerge w:val="restart"/>
          </w:tcPr>
          <w:p w14:paraId="0D42F5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6</w:t>
            </w:r>
          </w:p>
        </w:tc>
        <w:tc>
          <w:tcPr>
            <w:tcW w:w="777" w:type="dxa"/>
            <w:vMerge w:val="restart"/>
          </w:tcPr>
          <w:p w14:paraId="71C7AB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35</w:t>
            </w:r>
          </w:p>
        </w:tc>
      </w:tr>
      <w:tr w14:paraId="2216E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954" w:type="dxa"/>
            <w:vMerge w:val="continue"/>
          </w:tcPr>
          <w:p w14:paraId="50A906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pPr>
          </w:p>
        </w:tc>
        <w:tc>
          <w:tcPr>
            <w:tcW w:w="1282" w:type="dxa"/>
            <w:vMerge w:val="continue"/>
          </w:tcPr>
          <w:p w14:paraId="147DC9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pPr>
          </w:p>
        </w:tc>
        <w:tc>
          <w:tcPr>
            <w:tcW w:w="1773" w:type="dxa"/>
            <w:vMerge w:val="continue"/>
            <w:tcBorders/>
          </w:tcPr>
          <w:p w14:paraId="3E87A6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pPr>
          </w:p>
        </w:tc>
        <w:tc>
          <w:tcPr>
            <w:tcW w:w="2891" w:type="dxa"/>
            <w:vAlign w:val="top"/>
          </w:tcPr>
          <w:p w14:paraId="573C4603">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2.机械波</w:t>
            </w:r>
          </w:p>
        </w:tc>
        <w:tc>
          <w:tcPr>
            <w:tcW w:w="845" w:type="dxa"/>
            <w:vMerge w:val="continue"/>
            <w:tcBorders/>
          </w:tcPr>
          <w:p w14:paraId="70BAD2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eastAsiaTheme="minorEastAsia"/>
                <w:sz w:val="21"/>
                <w:szCs w:val="21"/>
                <w:lang w:val="en-US" w:eastAsia="zh-CN"/>
              </w:rPr>
            </w:pPr>
          </w:p>
        </w:tc>
        <w:tc>
          <w:tcPr>
            <w:tcW w:w="777" w:type="dxa"/>
            <w:vMerge w:val="continue"/>
            <w:tcBorders/>
          </w:tcPr>
          <w:p w14:paraId="5B8718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default" w:ascii="Calibri" w:hAnsi="Calibri" w:cs="Calibri" w:eastAsiaTheme="minorEastAsia"/>
                <w:sz w:val="21"/>
                <w:szCs w:val="21"/>
                <w:lang w:val="en-US" w:eastAsia="zh-CN"/>
              </w:rPr>
            </w:pPr>
          </w:p>
        </w:tc>
      </w:tr>
      <w:tr w14:paraId="5D45C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54" w:type="dxa"/>
            <w:vMerge w:val="continue"/>
          </w:tcPr>
          <w:p w14:paraId="20958B6D">
            <w:pPr>
              <w:jc w:val="center"/>
            </w:pPr>
          </w:p>
        </w:tc>
        <w:tc>
          <w:tcPr>
            <w:tcW w:w="1282" w:type="dxa"/>
            <w:vMerge w:val="continue"/>
          </w:tcPr>
          <w:p w14:paraId="2608011B">
            <w:pPr>
              <w:jc w:val="center"/>
            </w:pPr>
          </w:p>
        </w:tc>
        <w:tc>
          <w:tcPr>
            <w:tcW w:w="1773" w:type="dxa"/>
            <w:vMerge w:val="continue"/>
            <w:tcBorders/>
          </w:tcPr>
          <w:p w14:paraId="59A153BA">
            <w:pPr>
              <w:jc w:val="center"/>
            </w:pPr>
          </w:p>
        </w:tc>
        <w:tc>
          <w:tcPr>
            <w:tcW w:w="2891" w:type="dxa"/>
            <w:vAlign w:val="top"/>
          </w:tcPr>
          <w:p w14:paraId="13CEA4A8">
            <w:pPr>
              <w:jc w:val="center"/>
              <w:rPr>
                <w:rFonts w:hint="eastAsia"/>
                <w:vertAlign w:val="baseline"/>
                <w:lang w:val="en-US" w:eastAsia="zh-CN"/>
              </w:rPr>
            </w:pPr>
            <w:r>
              <w:rPr>
                <w:rFonts w:hint="default" w:ascii="Calibri" w:hAnsi="Calibri" w:cs="Calibri"/>
                <w:sz w:val="21"/>
                <w:szCs w:val="21"/>
              </w:rPr>
              <w:t>1.</w:t>
            </w:r>
            <w:r>
              <w:rPr>
                <w:rFonts w:hint="eastAsia" w:ascii="宋体" w:hAnsi="宋体" w:eastAsia="宋体" w:cs="宋体"/>
                <w:sz w:val="21"/>
                <w:szCs w:val="21"/>
              </w:rPr>
              <w:t>电场力的性质</w:t>
            </w:r>
          </w:p>
        </w:tc>
        <w:tc>
          <w:tcPr>
            <w:tcW w:w="845" w:type="dxa"/>
            <w:vMerge w:val="continue"/>
            <w:tcBorders/>
          </w:tcPr>
          <w:p w14:paraId="1BC76B60">
            <w:pPr>
              <w:jc w:val="center"/>
              <w:rPr>
                <w:rFonts w:hint="eastAsia"/>
                <w:vertAlign w:val="baseline"/>
                <w:lang w:val="en-US" w:eastAsia="zh-CN"/>
              </w:rPr>
            </w:pPr>
          </w:p>
        </w:tc>
        <w:tc>
          <w:tcPr>
            <w:tcW w:w="777" w:type="dxa"/>
            <w:vMerge w:val="continue"/>
            <w:tcBorders/>
          </w:tcPr>
          <w:p w14:paraId="4FE8FE28">
            <w:pPr>
              <w:jc w:val="center"/>
              <w:rPr>
                <w:rFonts w:hint="eastAsia"/>
                <w:vertAlign w:val="baseline"/>
                <w:lang w:val="en-US" w:eastAsia="zh-CN"/>
              </w:rPr>
            </w:pPr>
          </w:p>
        </w:tc>
      </w:tr>
      <w:tr w14:paraId="1FF16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54" w:type="dxa"/>
            <w:vMerge w:val="restart"/>
          </w:tcPr>
          <w:p w14:paraId="45B70F79">
            <w:pPr>
              <w:jc w:val="center"/>
              <w:rPr>
                <w:vertAlign w:val="baseline"/>
              </w:rPr>
            </w:pPr>
            <w:r>
              <w:rPr>
                <w:rFonts w:hint="eastAsia" w:ascii="宋体" w:hAnsi="宋体" w:eastAsia="宋体" w:cs="宋体"/>
                <w:sz w:val="21"/>
                <w:szCs w:val="21"/>
              </w:rPr>
              <w:t>第</w:t>
            </w:r>
            <w:r>
              <w:rPr>
                <w:rFonts w:hint="eastAsia" w:ascii="宋体" w:hAnsi="宋体" w:eastAsia="宋体" w:cs="宋体"/>
                <w:sz w:val="21"/>
                <w:szCs w:val="21"/>
                <w:lang w:val="en-US" w:eastAsia="zh-CN"/>
              </w:rPr>
              <w:t xml:space="preserve"> 9</w:t>
            </w:r>
            <w:r>
              <w:rPr>
                <w:rFonts w:hint="eastAsia" w:ascii="宋体" w:hAnsi="宋体" w:eastAsia="宋体" w:cs="宋体"/>
                <w:sz w:val="21"/>
                <w:szCs w:val="21"/>
              </w:rPr>
              <w:t>周</w:t>
            </w:r>
          </w:p>
        </w:tc>
        <w:tc>
          <w:tcPr>
            <w:tcW w:w="1282" w:type="dxa"/>
            <w:vMerge w:val="restart"/>
          </w:tcPr>
          <w:p w14:paraId="0C805245">
            <w:pPr>
              <w:jc w:val="center"/>
              <w:rPr>
                <w:rFonts w:hint="default" w:eastAsiaTheme="minorEastAsia"/>
                <w:vertAlign w:val="baseline"/>
                <w:lang w:val="en-US" w:eastAsia="zh-CN"/>
              </w:rPr>
            </w:pPr>
            <w:r>
              <w:rPr>
                <w:rFonts w:hint="eastAsia"/>
                <w:vertAlign w:val="baseline"/>
                <w:lang w:val="en-US" w:eastAsia="zh-CN"/>
              </w:rPr>
              <w:t>10.28-11.3</w:t>
            </w:r>
          </w:p>
        </w:tc>
        <w:tc>
          <w:tcPr>
            <w:tcW w:w="1773" w:type="dxa"/>
            <w:vMerge w:val="continue"/>
            <w:tcBorders/>
          </w:tcPr>
          <w:p w14:paraId="2CF78614">
            <w:pPr>
              <w:jc w:val="center"/>
              <w:rPr>
                <w:rFonts w:hint="default" w:eastAsia="宋体"/>
                <w:vertAlign w:val="baseline"/>
                <w:lang w:val="en-US" w:eastAsia="zh-CN"/>
              </w:rPr>
            </w:pPr>
          </w:p>
        </w:tc>
        <w:tc>
          <w:tcPr>
            <w:tcW w:w="2891" w:type="dxa"/>
            <w:vAlign w:val="top"/>
          </w:tcPr>
          <w:p w14:paraId="4130CBD2">
            <w:pPr>
              <w:jc w:val="center"/>
              <w:rPr>
                <w:rFonts w:hint="default" w:ascii="Calibri" w:hAnsi="Calibri" w:cs="Calibri" w:eastAsiaTheme="minorEastAsia"/>
                <w:kern w:val="2"/>
                <w:sz w:val="21"/>
                <w:szCs w:val="21"/>
                <w:lang w:val="en-US" w:eastAsia="zh-CN" w:bidi="ar-SA"/>
              </w:rPr>
            </w:pPr>
            <w:r>
              <w:rPr>
                <w:rFonts w:hint="default" w:ascii="Calibri" w:hAnsi="Calibri" w:cs="Calibri"/>
                <w:sz w:val="21"/>
                <w:szCs w:val="21"/>
              </w:rPr>
              <w:t>2.</w:t>
            </w:r>
            <w:r>
              <w:rPr>
                <w:rFonts w:hint="eastAsia" w:ascii="宋体" w:hAnsi="宋体" w:eastAsia="宋体" w:cs="宋体"/>
                <w:sz w:val="21"/>
                <w:szCs w:val="21"/>
              </w:rPr>
              <w:t>电场能的性质</w:t>
            </w:r>
          </w:p>
        </w:tc>
        <w:tc>
          <w:tcPr>
            <w:tcW w:w="845" w:type="dxa"/>
            <w:vMerge w:val="restart"/>
          </w:tcPr>
          <w:p w14:paraId="69F14C71">
            <w:pPr>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6</w:t>
            </w:r>
          </w:p>
        </w:tc>
        <w:tc>
          <w:tcPr>
            <w:tcW w:w="777" w:type="dxa"/>
            <w:vMerge w:val="restart"/>
          </w:tcPr>
          <w:p w14:paraId="6571A1C7">
            <w:pPr>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41</w:t>
            </w:r>
          </w:p>
        </w:tc>
      </w:tr>
      <w:tr w14:paraId="211FA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54" w:type="dxa"/>
            <w:vMerge w:val="continue"/>
          </w:tcPr>
          <w:p w14:paraId="19C2B6E8">
            <w:pPr>
              <w:jc w:val="center"/>
            </w:pPr>
          </w:p>
        </w:tc>
        <w:tc>
          <w:tcPr>
            <w:tcW w:w="1282" w:type="dxa"/>
            <w:vMerge w:val="continue"/>
          </w:tcPr>
          <w:p w14:paraId="08E56328">
            <w:pPr>
              <w:jc w:val="center"/>
            </w:pPr>
          </w:p>
        </w:tc>
        <w:tc>
          <w:tcPr>
            <w:tcW w:w="1773" w:type="dxa"/>
            <w:vMerge w:val="continue"/>
            <w:tcBorders/>
          </w:tcPr>
          <w:p w14:paraId="1EDD84B2">
            <w:pPr>
              <w:jc w:val="center"/>
            </w:pPr>
          </w:p>
        </w:tc>
        <w:tc>
          <w:tcPr>
            <w:tcW w:w="2891" w:type="dxa"/>
          </w:tcPr>
          <w:p w14:paraId="7C8C2CAA">
            <w:pPr>
              <w:jc w:val="center"/>
              <w:rPr>
                <w:rFonts w:hint="default" w:ascii="Calibri" w:hAnsi="Calibri" w:cs="Calibri"/>
                <w:sz w:val="21"/>
                <w:szCs w:val="21"/>
              </w:rPr>
            </w:pPr>
            <w:r>
              <w:rPr>
                <w:rFonts w:hint="eastAsia"/>
                <w:vertAlign w:val="baseline"/>
                <w:lang w:val="en-US" w:eastAsia="zh-CN"/>
              </w:rPr>
              <w:t>静电场图像问题</w:t>
            </w:r>
          </w:p>
        </w:tc>
        <w:tc>
          <w:tcPr>
            <w:tcW w:w="845" w:type="dxa"/>
            <w:vMerge w:val="continue"/>
            <w:tcBorders/>
          </w:tcPr>
          <w:p w14:paraId="1BCC29D1">
            <w:pPr>
              <w:jc w:val="center"/>
              <w:rPr>
                <w:rFonts w:hint="eastAsia" w:ascii="Calibri" w:hAnsi="Calibri" w:cs="Calibri" w:eastAsiaTheme="minorEastAsia"/>
                <w:sz w:val="21"/>
                <w:szCs w:val="21"/>
                <w:lang w:val="en-US" w:eastAsia="zh-CN"/>
              </w:rPr>
            </w:pPr>
          </w:p>
        </w:tc>
        <w:tc>
          <w:tcPr>
            <w:tcW w:w="777" w:type="dxa"/>
            <w:vMerge w:val="continue"/>
            <w:tcBorders/>
          </w:tcPr>
          <w:p w14:paraId="66973B8A">
            <w:pPr>
              <w:jc w:val="center"/>
              <w:rPr>
                <w:rFonts w:hint="default" w:ascii="Calibri" w:hAnsi="Calibri" w:cs="Calibri" w:eastAsiaTheme="minorEastAsia"/>
                <w:sz w:val="21"/>
                <w:szCs w:val="21"/>
                <w:lang w:val="en-US" w:eastAsia="zh-CN"/>
              </w:rPr>
            </w:pPr>
          </w:p>
        </w:tc>
      </w:tr>
      <w:tr w14:paraId="0BB70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54" w:type="dxa"/>
            <w:vMerge w:val="continue"/>
          </w:tcPr>
          <w:p w14:paraId="5274CE82">
            <w:pPr>
              <w:jc w:val="center"/>
            </w:pPr>
          </w:p>
        </w:tc>
        <w:tc>
          <w:tcPr>
            <w:tcW w:w="1282" w:type="dxa"/>
            <w:vMerge w:val="continue"/>
          </w:tcPr>
          <w:p w14:paraId="278B5C64">
            <w:pPr>
              <w:jc w:val="center"/>
            </w:pPr>
          </w:p>
        </w:tc>
        <w:tc>
          <w:tcPr>
            <w:tcW w:w="1773" w:type="dxa"/>
            <w:vMerge w:val="continue"/>
            <w:tcBorders/>
          </w:tcPr>
          <w:p w14:paraId="1787D837">
            <w:pPr>
              <w:jc w:val="center"/>
            </w:pPr>
          </w:p>
        </w:tc>
        <w:tc>
          <w:tcPr>
            <w:tcW w:w="2891" w:type="dxa"/>
          </w:tcPr>
          <w:p w14:paraId="088CC77A">
            <w:pPr>
              <w:jc w:val="center"/>
              <w:rPr>
                <w:rFonts w:hint="eastAsia"/>
                <w:vertAlign w:val="baseline"/>
                <w:lang w:val="en-US" w:eastAsia="zh-CN"/>
              </w:rPr>
            </w:pPr>
            <w:r>
              <w:rPr>
                <w:rFonts w:hint="eastAsia" w:ascii="Calibri" w:hAnsi="Calibri" w:cs="Calibri"/>
                <w:sz w:val="21"/>
                <w:szCs w:val="21"/>
                <w:lang w:val="en-US" w:eastAsia="zh-CN"/>
              </w:rPr>
              <w:t>实验：观察电容器充放电</w:t>
            </w:r>
          </w:p>
        </w:tc>
        <w:tc>
          <w:tcPr>
            <w:tcW w:w="845" w:type="dxa"/>
            <w:vMerge w:val="continue"/>
            <w:tcBorders/>
          </w:tcPr>
          <w:p w14:paraId="4848A516">
            <w:pPr>
              <w:jc w:val="center"/>
              <w:rPr>
                <w:rFonts w:hint="eastAsia"/>
                <w:vertAlign w:val="baseline"/>
                <w:lang w:val="en-US" w:eastAsia="zh-CN"/>
              </w:rPr>
            </w:pPr>
          </w:p>
        </w:tc>
        <w:tc>
          <w:tcPr>
            <w:tcW w:w="777" w:type="dxa"/>
            <w:vMerge w:val="continue"/>
            <w:tcBorders/>
          </w:tcPr>
          <w:p w14:paraId="65639256">
            <w:pPr>
              <w:jc w:val="center"/>
              <w:rPr>
                <w:rFonts w:hint="eastAsia"/>
                <w:vertAlign w:val="baseline"/>
                <w:lang w:val="en-US" w:eastAsia="zh-CN"/>
              </w:rPr>
            </w:pPr>
          </w:p>
        </w:tc>
      </w:tr>
      <w:tr w14:paraId="69B34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54" w:type="dxa"/>
            <w:vMerge w:val="restart"/>
          </w:tcPr>
          <w:p w14:paraId="097DC0B8">
            <w:pPr>
              <w:jc w:val="center"/>
              <w:rPr>
                <w:vertAlign w:val="baseline"/>
              </w:rPr>
            </w:pPr>
            <w:r>
              <w:rPr>
                <w:rFonts w:hint="eastAsia" w:ascii="宋体" w:hAnsi="宋体" w:eastAsia="宋体" w:cs="宋体"/>
                <w:sz w:val="21"/>
                <w:szCs w:val="21"/>
              </w:rPr>
              <w:t>第</w:t>
            </w:r>
            <w:r>
              <w:rPr>
                <w:rFonts w:hint="eastAsia" w:ascii="宋体" w:hAnsi="宋体" w:eastAsia="宋体" w:cs="宋体"/>
                <w:sz w:val="21"/>
                <w:szCs w:val="21"/>
                <w:lang w:val="en-US" w:eastAsia="zh-CN"/>
              </w:rPr>
              <w:t>10</w:t>
            </w:r>
            <w:r>
              <w:rPr>
                <w:rFonts w:hint="eastAsia" w:ascii="宋体" w:hAnsi="宋体" w:eastAsia="宋体" w:cs="宋体"/>
                <w:sz w:val="21"/>
                <w:szCs w:val="21"/>
              </w:rPr>
              <w:t>周</w:t>
            </w:r>
          </w:p>
        </w:tc>
        <w:tc>
          <w:tcPr>
            <w:tcW w:w="1282" w:type="dxa"/>
            <w:vMerge w:val="restart"/>
          </w:tcPr>
          <w:p w14:paraId="1BF698E7">
            <w:pPr>
              <w:jc w:val="center"/>
              <w:rPr>
                <w:rFonts w:hint="default" w:eastAsiaTheme="minorEastAsia"/>
                <w:vertAlign w:val="baseline"/>
                <w:lang w:val="en-US" w:eastAsia="zh-CN"/>
              </w:rPr>
            </w:pPr>
            <w:r>
              <w:rPr>
                <w:rFonts w:hint="eastAsia"/>
                <w:vertAlign w:val="baseline"/>
                <w:lang w:val="en-US" w:eastAsia="zh-CN"/>
              </w:rPr>
              <w:t>11.4-11.10</w:t>
            </w:r>
          </w:p>
        </w:tc>
        <w:tc>
          <w:tcPr>
            <w:tcW w:w="1773" w:type="dxa"/>
            <w:vMerge w:val="restart"/>
          </w:tcPr>
          <w:p w14:paraId="02ABE6D7">
            <w:pPr>
              <w:jc w:val="center"/>
              <w:rPr>
                <w:rFonts w:hint="default" w:eastAsiaTheme="minorEastAsia"/>
                <w:vertAlign w:val="baseline"/>
                <w:lang w:val="en-US" w:eastAsia="zh-CN"/>
              </w:rPr>
            </w:pPr>
          </w:p>
        </w:tc>
        <w:tc>
          <w:tcPr>
            <w:tcW w:w="2891" w:type="dxa"/>
          </w:tcPr>
          <w:p w14:paraId="11F607F6">
            <w:pPr>
              <w:jc w:val="center"/>
              <w:rPr>
                <w:rFonts w:hint="eastAsia" w:ascii="宋体" w:hAnsi="宋体" w:eastAsia="宋体" w:cs="宋体"/>
                <w:sz w:val="21"/>
                <w:szCs w:val="21"/>
              </w:rPr>
            </w:pPr>
            <w:r>
              <w:rPr>
                <w:rFonts w:hint="default" w:ascii="Calibri" w:hAnsi="Calibri" w:cs="Calibri"/>
                <w:sz w:val="21"/>
                <w:szCs w:val="21"/>
              </w:rPr>
              <w:t>3.</w:t>
            </w:r>
            <w:r>
              <w:rPr>
                <w:rFonts w:hint="eastAsia" w:ascii="宋体" w:hAnsi="宋体" w:eastAsia="宋体" w:cs="宋体"/>
                <w:sz w:val="21"/>
                <w:szCs w:val="21"/>
              </w:rPr>
              <w:t>电容器与电容  带电粒子在电场中的运动</w:t>
            </w:r>
          </w:p>
        </w:tc>
        <w:tc>
          <w:tcPr>
            <w:tcW w:w="845" w:type="dxa"/>
            <w:vMerge w:val="restart"/>
          </w:tcPr>
          <w:p w14:paraId="17A1C3E5">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777" w:type="dxa"/>
            <w:vMerge w:val="restart"/>
          </w:tcPr>
          <w:p w14:paraId="478EBAF4">
            <w:pPr>
              <w:jc w:val="center"/>
              <w:rPr>
                <w:rFonts w:hint="default" w:eastAsiaTheme="minorEastAsia"/>
                <w:vertAlign w:val="baseline"/>
                <w:lang w:val="en-US" w:eastAsia="zh-CN"/>
              </w:rPr>
            </w:pPr>
            <w:r>
              <w:rPr>
                <w:rFonts w:hint="eastAsia"/>
                <w:vertAlign w:val="baseline"/>
                <w:lang w:val="en-US" w:eastAsia="zh-CN"/>
              </w:rPr>
              <w:t>44</w:t>
            </w:r>
          </w:p>
        </w:tc>
      </w:tr>
      <w:tr w14:paraId="5B0AB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54" w:type="dxa"/>
            <w:vMerge w:val="continue"/>
          </w:tcPr>
          <w:p w14:paraId="60491920">
            <w:pPr>
              <w:jc w:val="center"/>
            </w:pPr>
          </w:p>
        </w:tc>
        <w:tc>
          <w:tcPr>
            <w:tcW w:w="1282" w:type="dxa"/>
            <w:vMerge w:val="continue"/>
          </w:tcPr>
          <w:p w14:paraId="43EF5D59">
            <w:pPr>
              <w:jc w:val="center"/>
            </w:pPr>
          </w:p>
        </w:tc>
        <w:tc>
          <w:tcPr>
            <w:tcW w:w="1773" w:type="dxa"/>
            <w:vMerge w:val="continue"/>
          </w:tcPr>
          <w:p w14:paraId="0A14D479">
            <w:pPr>
              <w:jc w:val="center"/>
            </w:pPr>
          </w:p>
        </w:tc>
        <w:tc>
          <w:tcPr>
            <w:tcW w:w="2891" w:type="dxa"/>
          </w:tcPr>
          <w:p w14:paraId="05529BFE">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期中考试</w:t>
            </w:r>
          </w:p>
        </w:tc>
        <w:tc>
          <w:tcPr>
            <w:tcW w:w="845" w:type="dxa"/>
            <w:vMerge w:val="continue"/>
            <w:tcBorders/>
          </w:tcPr>
          <w:p w14:paraId="5140BF6D">
            <w:pPr>
              <w:jc w:val="center"/>
              <w:rPr>
                <w:rFonts w:hint="eastAsia" w:ascii="宋体" w:hAnsi="宋体" w:eastAsia="宋体" w:cs="宋体"/>
                <w:sz w:val="21"/>
                <w:szCs w:val="21"/>
                <w:lang w:val="en-US" w:eastAsia="zh-CN"/>
              </w:rPr>
            </w:pPr>
          </w:p>
        </w:tc>
        <w:tc>
          <w:tcPr>
            <w:tcW w:w="777" w:type="dxa"/>
            <w:vMerge w:val="continue"/>
          </w:tcPr>
          <w:p w14:paraId="665996C2">
            <w:pPr>
              <w:jc w:val="center"/>
              <w:rPr>
                <w:rFonts w:hint="eastAsia" w:ascii="宋体" w:hAnsi="宋体" w:eastAsia="宋体" w:cs="宋体"/>
                <w:sz w:val="21"/>
                <w:szCs w:val="21"/>
              </w:rPr>
            </w:pPr>
          </w:p>
        </w:tc>
      </w:tr>
      <w:tr w14:paraId="4356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954" w:type="dxa"/>
            <w:vMerge w:val="restart"/>
          </w:tcPr>
          <w:p w14:paraId="2E5CF726">
            <w:pPr>
              <w:jc w:val="center"/>
              <w:rPr>
                <w:vertAlign w:val="baseline"/>
              </w:rPr>
            </w:pPr>
            <w:r>
              <w:rPr>
                <w:rFonts w:hint="eastAsia" w:ascii="宋体" w:hAnsi="宋体" w:eastAsia="宋体" w:cs="宋体"/>
                <w:sz w:val="21"/>
                <w:szCs w:val="21"/>
              </w:rPr>
              <w:t>第</w:t>
            </w:r>
            <w:r>
              <w:rPr>
                <w:rFonts w:hint="eastAsia" w:ascii="宋体" w:hAnsi="宋体" w:eastAsia="宋体" w:cs="宋体"/>
                <w:sz w:val="21"/>
                <w:szCs w:val="21"/>
                <w:lang w:val="en-US" w:eastAsia="zh-CN"/>
              </w:rPr>
              <w:t>11</w:t>
            </w:r>
            <w:r>
              <w:rPr>
                <w:rFonts w:hint="eastAsia" w:ascii="宋体" w:hAnsi="宋体" w:eastAsia="宋体" w:cs="宋体"/>
                <w:sz w:val="21"/>
                <w:szCs w:val="21"/>
              </w:rPr>
              <w:t>周</w:t>
            </w:r>
          </w:p>
        </w:tc>
        <w:tc>
          <w:tcPr>
            <w:tcW w:w="1282" w:type="dxa"/>
            <w:vMerge w:val="restart"/>
          </w:tcPr>
          <w:p w14:paraId="07AE346F">
            <w:pPr>
              <w:jc w:val="center"/>
              <w:rPr>
                <w:rFonts w:hint="default" w:eastAsiaTheme="minorEastAsia"/>
                <w:vertAlign w:val="baseline"/>
                <w:lang w:val="en-US" w:eastAsia="zh-CN"/>
              </w:rPr>
            </w:pPr>
            <w:r>
              <w:rPr>
                <w:rFonts w:hint="eastAsia"/>
                <w:vertAlign w:val="baseline"/>
                <w:lang w:val="en-US" w:eastAsia="zh-CN"/>
              </w:rPr>
              <w:t>11.11-11.17</w:t>
            </w:r>
          </w:p>
        </w:tc>
        <w:tc>
          <w:tcPr>
            <w:tcW w:w="1773" w:type="dxa"/>
            <w:vMerge w:val="continue"/>
          </w:tcPr>
          <w:p w14:paraId="57517465">
            <w:pPr>
              <w:jc w:val="center"/>
              <w:rPr>
                <w:rFonts w:hint="default" w:eastAsiaTheme="minorEastAsia"/>
                <w:vertAlign w:val="baseline"/>
                <w:lang w:val="en-US" w:eastAsia="zh-CN"/>
              </w:rPr>
            </w:pPr>
          </w:p>
        </w:tc>
        <w:tc>
          <w:tcPr>
            <w:tcW w:w="2891" w:type="dxa"/>
          </w:tcPr>
          <w:p w14:paraId="2FC9D7F5">
            <w:pPr>
              <w:jc w:val="center"/>
              <w:rPr>
                <w:rFonts w:hint="default" w:eastAsiaTheme="minorEastAsia"/>
                <w:vertAlign w:val="baseline"/>
                <w:lang w:val="en-US" w:eastAsia="zh-CN"/>
              </w:rPr>
            </w:pPr>
            <w:r>
              <w:rPr>
                <w:rFonts w:hint="eastAsia" w:ascii="宋体" w:hAnsi="宋体" w:eastAsia="宋体" w:cs="宋体"/>
                <w:sz w:val="21"/>
                <w:szCs w:val="21"/>
              </w:rPr>
              <w:t> 带电粒子在电场中的运动</w:t>
            </w:r>
          </w:p>
        </w:tc>
        <w:tc>
          <w:tcPr>
            <w:tcW w:w="845" w:type="dxa"/>
            <w:vMerge w:val="restart"/>
          </w:tcPr>
          <w:p w14:paraId="42241CEB">
            <w:pPr>
              <w:jc w:val="center"/>
              <w:rPr>
                <w:rFonts w:hint="eastAsia" w:eastAsiaTheme="minorEastAsia"/>
                <w:vertAlign w:val="baseline"/>
                <w:lang w:val="en-US" w:eastAsia="zh-CN"/>
              </w:rPr>
            </w:pPr>
            <w:r>
              <w:rPr>
                <w:rFonts w:hint="eastAsia"/>
                <w:vertAlign w:val="baseline"/>
                <w:lang w:val="en-US" w:eastAsia="zh-CN"/>
              </w:rPr>
              <w:t>6</w:t>
            </w:r>
          </w:p>
        </w:tc>
        <w:tc>
          <w:tcPr>
            <w:tcW w:w="777" w:type="dxa"/>
            <w:vMerge w:val="restart"/>
          </w:tcPr>
          <w:p w14:paraId="4558282E">
            <w:pPr>
              <w:jc w:val="center"/>
              <w:rPr>
                <w:rFonts w:hint="default" w:eastAsiaTheme="minorEastAsia"/>
                <w:vertAlign w:val="baseline"/>
                <w:lang w:val="en-US" w:eastAsia="zh-CN"/>
              </w:rPr>
            </w:pPr>
            <w:r>
              <w:rPr>
                <w:rFonts w:hint="eastAsia"/>
                <w:vertAlign w:val="baseline"/>
                <w:lang w:val="en-US" w:eastAsia="zh-CN"/>
              </w:rPr>
              <w:t>50</w:t>
            </w:r>
          </w:p>
        </w:tc>
      </w:tr>
      <w:tr w14:paraId="0DD1C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954" w:type="dxa"/>
            <w:vMerge w:val="continue"/>
          </w:tcPr>
          <w:p w14:paraId="735B8B19">
            <w:pPr>
              <w:jc w:val="center"/>
            </w:pPr>
          </w:p>
        </w:tc>
        <w:tc>
          <w:tcPr>
            <w:tcW w:w="1282" w:type="dxa"/>
            <w:vMerge w:val="continue"/>
          </w:tcPr>
          <w:p w14:paraId="59691D56">
            <w:pPr>
              <w:jc w:val="center"/>
            </w:pPr>
          </w:p>
        </w:tc>
        <w:tc>
          <w:tcPr>
            <w:tcW w:w="1773" w:type="dxa"/>
            <w:vMerge w:val="restart"/>
          </w:tcPr>
          <w:p w14:paraId="6965B0DF">
            <w:pPr>
              <w:jc w:val="center"/>
              <w:rPr>
                <w:vertAlign w:val="baseline"/>
              </w:rPr>
            </w:pPr>
            <w:r>
              <w:rPr>
                <w:rFonts w:hint="eastAsia" w:ascii="宋体" w:hAnsi="宋体" w:eastAsia="宋体" w:cs="宋体"/>
                <w:sz w:val="21"/>
                <w:szCs w:val="21"/>
              </w:rPr>
              <w:t>第</w:t>
            </w:r>
            <w:r>
              <w:rPr>
                <w:rFonts w:hint="eastAsia" w:ascii="宋体" w:hAnsi="宋体" w:eastAsia="宋体" w:cs="宋体"/>
                <w:sz w:val="21"/>
                <w:szCs w:val="21"/>
                <w:lang w:val="en-US" w:eastAsia="zh-CN"/>
              </w:rPr>
              <w:t>8</w:t>
            </w:r>
            <w:r>
              <w:rPr>
                <w:rFonts w:hint="eastAsia" w:ascii="宋体" w:hAnsi="宋体" w:eastAsia="宋体" w:cs="宋体"/>
                <w:sz w:val="21"/>
                <w:szCs w:val="21"/>
              </w:rPr>
              <w:t>章 静电场</w:t>
            </w:r>
          </w:p>
        </w:tc>
        <w:tc>
          <w:tcPr>
            <w:tcW w:w="2891" w:type="dxa"/>
          </w:tcPr>
          <w:p w14:paraId="38AAD262">
            <w:pPr>
              <w:jc w:val="center"/>
              <w:rPr>
                <w:rFonts w:hint="default"/>
                <w:vertAlign w:val="baseline"/>
                <w:lang w:val="en-US" w:eastAsia="zh-CN"/>
              </w:rPr>
            </w:pPr>
            <w:r>
              <w:rPr>
                <w:rFonts w:hint="default" w:ascii="Calibri" w:hAnsi="Calibri" w:cs="Calibri"/>
                <w:sz w:val="21"/>
                <w:szCs w:val="21"/>
              </w:rPr>
              <w:t>1.</w:t>
            </w:r>
            <w:r>
              <w:rPr>
                <w:rFonts w:hint="eastAsia" w:ascii="宋体" w:hAnsi="宋体" w:eastAsia="宋体" w:cs="宋体"/>
                <w:sz w:val="21"/>
                <w:szCs w:val="21"/>
              </w:rPr>
              <w:t>电路的基本概念和规律</w:t>
            </w:r>
          </w:p>
        </w:tc>
        <w:tc>
          <w:tcPr>
            <w:tcW w:w="845" w:type="dxa"/>
            <w:vMerge w:val="continue"/>
          </w:tcPr>
          <w:p w14:paraId="5BE4711B">
            <w:pPr>
              <w:jc w:val="center"/>
              <w:rPr>
                <w:rFonts w:hint="eastAsia"/>
                <w:vertAlign w:val="baseline"/>
                <w:lang w:val="en-US" w:eastAsia="zh-CN"/>
              </w:rPr>
            </w:pPr>
          </w:p>
        </w:tc>
        <w:tc>
          <w:tcPr>
            <w:tcW w:w="777" w:type="dxa"/>
            <w:vMerge w:val="continue"/>
          </w:tcPr>
          <w:p w14:paraId="2743E1CB">
            <w:pPr>
              <w:jc w:val="center"/>
              <w:rPr>
                <w:rFonts w:hint="eastAsia"/>
                <w:vertAlign w:val="baseline"/>
                <w:lang w:val="en-US" w:eastAsia="zh-CN"/>
              </w:rPr>
            </w:pPr>
          </w:p>
        </w:tc>
      </w:tr>
      <w:tr w14:paraId="26B74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954" w:type="dxa"/>
            <w:vMerge w:val="continue"/>
          </w:tcPr>
          <w:p w14:paraId="4C6A5E67">
            <w:pPr>
              <w:jc w:val="center"/>
              <w:rPr>
                <w:rFonts w:hint="eastAsia"/>
                <w:vertAlign w:val="baseline"/>
                <w:lang w:val="en-US" w:eastAsia="zh-CN"/>
              </w:rPr>
            </w:pPr>
          </w:p>
        </w:tc>
        <w:tc>
          <w:tcPr>
            <w:tcW w:w="1282" w:type="dxa"/>
            <w:vMerge w:val="continue"/>
          </w:tcPr>
          <w:p w14:paraId="39F9F48E">
            <w:pPr>
              <w:jc w:val="center"/>
              <w:rPr>
                <w:rFonts w:hint="eastAsia"/>
                <w:vertAlign w:val="baseline"/>
                <w:lang w:val="en-US" w:eastAsia="zh-CN"/>
              </w:rPr>
            </w:pPr>
          </w:p>
        </w:tc>
        <w:tc>
          <w:tcPr>
            <w:tcW w:w="1773" w:type="dxa"/>
            <w:vMerge w:val="continue"/>
          </w:tcPr>
          <w:p w14:paraId="09EC5E61">
            <w:pPr>
              <w:jc w:val="center"/>
              <w:rPr>
                <w:rFonts w:hint="eastAsia"/>
                <w:vertAlign w:val="baseline"/>
                <w:lang w:val="en-US" w:eastAsia="zh-CN"/>
              </w:rPr>
            </w:pPr>
          </w:p>
        </w:tc>
        <w:tc>
          <w:tcPr>
            <w:tcW w:w="2891" w:type="dxa"/>
          </w:tcPr>
          <w:p w14:paraId="6C02C7D5">
            <w:pPr>
              <w:jc w:val="center"/>
              <w:rPr>
                <w:rFonts w:hint="default"/>
                <w:vertAlign w:val="baseline"/>
                <w:lang w:val="en-US" w:eastAsia="zh-CN"/>
              </w:rPr>
            </w:pPr>
            <w:r>
              <w:rPr>
                <w:rFonts w:hint="default" w:ascii="Calibri" w:hAnsi="Calibri" w:cs="Calibri"/>
                <w:sz w:val="21"/>
                <w:szCs w:val="21"/>
              </w:rPr>
              <w:t>2.</w:t>
            </w:r>
            <w:r>
              <w:rPr>
                <w:rFonts w:hint="eastAsia" w:ascii="宋体" w:hAnsi="宋体" w:eastAsia="宋体" w:cs="宋体"/>
                <w:sz w:val="21"/>
                <w:szCs w:val="21"/>
              </w:rPr>
              <w:t>闭合电路欧姆定律</w:t>
            </w:r>
          </w:p>
        </w:tc>
        <w:tc>
          <w:tcPr>
            <w:tcW w:w="845" w:type="dxa"/>
            <w:vMerge w:val="continue"/>
          </w:tcPr>
          <w:p w14:paraId="00667EA4">
            <w:pPr>
              <w:jc w:val="center"/>
              <w:rPr>
                <w:rFonts w:hint="eastAsia"/>
                <w:vertAlign w:val="baseline"/>
                <w:lang w:val="en-US" w:eastAsia="zh-CN"/>
              </w:rPr>
            </w:pPr>
          </w:p>
        </w:tc>
        <w:tc>
          <w:tcPr>
            <w:tcW w:w="777" w:type="dxa"/>
            <w:vMerge w:val="continue"/>
          </w:tcPr>
          <w:p w14:paraId="7CA347D7">
            <w:pPr>
              <w:jc w:val="center"/>
              <w:rPr>
                <w:rFonts w:hint="eastAsia"/>
                <w:vertAlign w:val="baseline"/>
                <w:lang w:val="en-US" w:eastAsia="zh-CN"/>
              </w:rPr>
            </w:pPr>
          </w:p>
        </w:tc>
      </w:tr>
      <w:tr w14:paraId="3FDA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954" w:type="dxa"/>
            <w:vMerge w:val="restart"/>
          </w:tcPr>
          <w:p w14:paraId="326926CD">
            <w:pPr>
              <w:jc w:val="center"/>
              <w:rPr>
                <w:vertAlign w:val="baseline"/>
              </w:rPr>
            </w:pPr>
            <w:r>
              <w:rPr>
                <w:rFonts w:hint="eastAsia" w:ascii="宋体" w:hAnsi="宋体" w:eastAsia="宋体" w:cs="宋体"/>
                <w:sz w:val="21"/>
                <w:szCs w:val="21"/>
              </w:rPr>
              <w:t>第</w:t>
            </w:r>
            <w:r>
              <w:rPr>
                <w:rFonts w:hint="eastAsia" w:ascii="宋体" w:hAnsi="宋体" w:eastAsia="宋体" w:cs="宋体"/>
                <w:sz w:val="21"/>
                <w:szCs w:val="21"/>
                <w:lang w:val="en-US" w:eastAsia="zh-CN"/>
              </w:rPr>
              <w:t>12</w:t>
            </w:r>
            <w:r>
              <w:rPr>
                <w:rFonts w:hint="eastAsia" w:ascii="宋体" w:hAnsi="宋体" w:eastAsia="宋体" w:cs="宋体"/>
                <w:sz w:val="21"/>
                <w:szCs w:val="21"/>
              </w:rPr>
              <w:t>周</w:t>
            </w:r>
          </w:p>
        </w:tc>
        <w:tc>
          <w:tcPr>
            <w:tcW w:w="1282" w:type="dxa"/>
            <w:vMerge w:val="restart"/>
          </w:tcPr>
          <w:p w14:paraId="37C0BC70">
            <w:pPr>
              <w:jc w:val="center"/>
              <w:rPr>
                <w:rFonts w:hint="default" w:eastAsiaTheme="minorEastAsia"/>
                <w:vertAlign w:val="baseline"/>
                <w:lang w:val="en-US" w:eastAsia="zh-CN"/>
              </w:rPr>
            </w:pPr>
            <w:r>
              <w:rPr>
                <w:rFonts w:hint="eastAsia"/>
                <w:vertAlign w:val="baseline"/>
                <w:lang w:val="en-US" w:eastAsia="zh-CN"/>
              </w:rPr>
              <w:t>11.18-11.24</w:t>
            </w:r>
          </w:p>
        </w:tc>
        <w:tc>
          <w:tcPr>
            <w:tcW w:w="1773" w:type="dxa"/>
            <w:vMerge w:val="continue"/>
          </w:tcPr>
          <w:p w14:paraId="2663D0BC">
            <w:pPr>
              <w:jc w:val="center"/>
              <w:rPr>
                <w:vertAlign w:val="baseline"/>
              </w:rPr>
            </w:pPr>
          </w:p>
        </w:tc>
        <w:tc>
          <w:tcPr>
            <w:tcW w:w="2891" w:type="dxa"/>
          </w:tcPr>
          <w:p w14:paraId="4B6F8222">
            <w:pPr>
              <w:jc w:val="center"/>
              <w:rPr>
                <w:vertAlign w:val="baseline"/>
              </w:rPr>
            </w:pPr>
            <w:r>
              <w:rPr>
                <w:rFonts w:hint="eastAsia"/>
                <w:vertAlign w:val="baseline"/>
                <w:lang w:val="en-US" w:eastAsia="zh-CN"/>
              </w:rPr>
              <w:t>实验 测量仪器的使用</w:t>
            </w:r>
          </w:p>
        </w:tc>
        <w:tc>
          <w:tcPr>
            <w:tcW w:w="845" w:type="dxa"/>
            <w:vMerge w:val="restart"/>
          </w:tcPr>
          <w:p w14:paraId="6E534A13">
            <w:pPr>
              <w:jc w:val="center"/>
              <w:rPr>
                <w:rFonts w:hint="eastAsia" w:eastAsiaTheme="minorEastAsia"/>
                <w:vertAlign w:val="baseline"/>
                <w:lang w:val="en-US" w:eastAsia="zh-CN"/>
              </w:rPr>
            </w:pPr>
            <w:r>
              <w:rPr>
                <w:rFonts w:hint="eastAsia"/>
                <w:vertAlign w:val="baseline"/>
                <w:lang w:val="en-US" w:eastAsia="zh-CN"/>
              </w:rPr>
              <w:t>6</w:t>
            </w:r>
          </w:p>
        </w:tc>
        <w:tc>
          <w:tcPr>
            <w:tcW w:w="777" w:type="dxa"/>
            <w:vMerge w:val="restart"/>
          </w:tcPr>
          <w:p w14:paraId="58A024EE">
            <w:pPr>
              <w:jc w:val="center"/>
              <w:rPr>
                <w:rFonts w:hint="default" w:eastAsiaTheme="minorEastAsia"/>
                <w:vertAlign w:val="baseline"/>
                <w:lang w:val="en-US" w:eastAsia="zh-CN"/>
              </w:rPr>
            </w:pPr>
            <w:r>
              <w:rPr>
                <w:rFonts w:hint="eastAsia"/>
                <w:vertAlign w:val="baseline"/>
                <w:lang w:val="en-US" w:eastAsia="zh-CN"/>
              </w:rPr>
              <w:t>56</w:t>
            </w:r>
          </w:p>
        </w:tc>
      </w:tr>
      <w:tr w14:paraId="5389B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54" w:type="dxa"/>
            <w:vMerge w:val="continue"/>
          </w:tcPr>
          <w:p w14:paraId="517612F3">
            <w:pPr>
              <w:jc w:val="center"/>
            </w:pPr>
          </w:p>
        </w:tc>
        <w:tc>
          <w:tcPr>
            <w:tcW w:w="1282" w:type="dxa"/>
            <w:vMerge w:val="continue"/>
          </w:tcPr>
          <w:p w14:paraId="5C51CD76">
            <w:pPr>
              <w:jc w:val="center"/>
            </w:pPr>
          </w:p>
        </w:tc>
        <w:tc>
          <w:tcPr>
            <w:tcW w:w="1773" w:type="dxa"/>
            <w:vMerge w:val="continue"/>
          </w:tcPr>
          <w:p w14:paraId="1C2E43C4">
            <w:pPr>
              <w:jc w:val="center"/>
            </w:pPr>
          </w:p>
        </w:tc>
        <w:tc>
          <w:tcPr>
            <w:tcW w:w="2891" w:type="dxa"/>
          </w:tcPr>
          <w:p w14:paraId="49A04AB6">
            <w:pPr>
              <w:jc w:val="center"/>
              <w:rPr>
                <w:rFonts w:hint="default" w:ascii="Calibri" w:hAnsi="Calibri" w:cs="Calibri"/>
                <w:sz w:val="21"/>
                <w:szCs w:val="21"/>
              </w:rPr>
            </w:pPr>
            <w:r>
              <w:rPr>
                <w:rFonts w:hint="eastAsia"/>
                <w:vertAlign w:val="baseline"/>
                <w:lang w:val="en-US" w:eastAsia="zh-CN"/>
              </w:rPr>
              <w:t>实验 测量金属丝电阻率</w:t>
            </w:r>
          </w:p>
        </w:tc>
        <w:tc>
          <w:tcPr>
            <w:tcW w:w="845" w:type="dxa"/>
            <w:vMerge w:val="continue"/>
          </w:tcPr>
          <w:p w14:paraId="45C52F94">
            <w:pPr>
              <w:jc w:val="center"/>
              <w:rPr>
                <w:rFonts w:hint="default" w:ascii="Calibri" w:hAnsi="Calibri" w:cs="Calibri"/>
                <w:sz w:val="21"/>
                <w:szCs w:val="21"/>
              </w:rPr>
            </w:pPr>
          </w:p>
        </w:tc>
        <w:tc>
          <w:tcPr>
            <w:tcW w:w="777" w:type="dxa"/>
            <w:vMerge w:val="continue"/>
          </w:tcPr>
          <w:p w14:paraId="5180C647">
            <w:pPr>
              <w:jc w:val="center"/>
              <w:rPr>
                <w:rFonts w:hint="default" w:ascii="Calibri" w:hAnsi="Calibri" w:cs="Calibri"/>
                <w:sz w:val="21"/>
                <w:szCs w:val="21"/>
              </w:rPr>
            </w:pPr>
          </w:p>
        </w:tc>
      </w:tr>
      <w:tr w14:paraId="5347C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54" w:type="dxa"/>
            <w:vMerge w:val="continue"/>
          </w:tcPr>
          <w:p w14:paraId="65CBD540">
            <w:pPr>
              <w:jc w:val="center"/>
            </w:pPr>
          </w:p>
        </w:tc>
        <w:tc>
          <w:tcPr>
            <w:tcW w:w="1282" w:type="dxa"/>
            <w:vMerge w:val="continue"/>
          </w:tcPr>
          <w:p w14:paraId="14C27FC0">
            <w:pPr>
              <w:jc w:val="center"/>
            </w:pPr>
          </w:p>
        </w:tc>
        <w:tc>
          <w:tcPr>
            <w:tcW w:w="1773" w:type="dxa"/>
            <w:vMerge w:val="continue"/>
          </w:tcPr>
          <w:p w14:paraId="30A20817">
            <w:pPr>
              <w:jc w:val="center"/>
            </w:pPr>
          </w:p>
        </w:tc>
        <w:tc>
          <w:tcPr>
            <w:tcW w:w="2891" w:type="dxa"/>
            <w:tcBorders/>
          </w:tcPr>
          <w:p w14:paraId="3905F9E5">
            <w:pPr>
              <w:jc w:val="center"/>
              <w:rPr>
                <w:rFonts w:hint="eastAsia"/>
                <w:vertAlign w:val="baseline"/>
                <w:lang w:val="en-US" w:eastAsia="zh-CN"/>
              </w:rPr>
            </w:pPr>
            <w:r>
              <w:rPr>
                <w:rFonts w:hint="eastAsia"/>
                <w:vertAlign w:val="baseline"/>
                <w:lang w:val="en-US" w:eastAsia="zh-CN"/>
              </w:rPr>
              <w:t>实验测量电源电动势和内阻</w:t>
            </w:r>
          </w:p>
        </w:tc>
        <w:tc>
          <w:tcPr>
            <w:tcW w:w="845" w:type="dxa"/>
            <w:vMerge w:val="continue"/>
          </w:tcPr>
          <w:p w14:paraId="10240E49">
            <w:pPr>
              <w:jc w:val="center"/>
              <w:rPr>
                <w:rFonts w:hint="eastAsia"/>
                <w:vertAlign w:val="baseline"/>
                <w:lang w:val="en-US" w:eastAsia="zh-CN"/>
              </w:rPr>
            </w:pPr>
          </w:p>
        </w:tc>
        <w:tc>
          <w:tcPr>
            <w:tcW w:w="777" w:type="dxa"/>
            <w:vMerge w:val="continue"/>
          </w:tcPr>
          <w:p w14:paraId="2512FF28">
            <w:pPr>
              <w:jc w:val="center"/>
              <w:rPr>
                <w:rFonts w:hint="eastAsia"/>
                <w:vertAlign w:val="baseline"/>
                <w:lang w:val="en-US" w:eastAsia="zh-CN"/>
              </w:rPr>
            </w:pPr>
          </w:p>
        </w:tc>
      </w:tr>
      <w:tr w14:paraId="6842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54" w:type="dxa"/>
            <w:vMerge w:val="restart"/>
          </w:tcPr>
          <w:p w14:paraId="3FB0C52F">
            <w:pPr>
              <w:jc w:val="center"/>
              <w:rPr>
                <w:vertAlign w:val="baseline"/>
              </w:rPr>
            </w:pPr>
            <w:r>
              <w:rPr>
                <w:rFonts w:hint="eastAsia" w:ascii="宋体" w:hAnsi="宋体" w:eastAsia="宋体" w:cs="宋体"/>
                <w:sz w:val="21"/>
                <w:szCs w:val="21"/>
              </w:rPr>
              <w:t>第</w:t>
            </w:r>
            <w:r>
              <w:rPr>
                <w:rFonts w:hint="eastAsia" w:ascii="宋体" w:hAnsi="宋体" w:eastAsia="宋体" w:cs="宋体"/>
                <w:sz w:val="21"/>
                <w:szCs w:val="21"/>
                <w:lang w:val="en-US" w:eastAsia="zh-CN"/>
              </w:rPr>
              <w:t xml:space="preserve"> 13</w:t>
            </w:r>
          </w:p>
        </w:tc>
        <w:tc>
          <w:tcPr>
            <w:tcW w:w="1282" w:type="dxa"/>
            <w:vMerge w:val="restart"/>
          </w:tcPr>
          <w:p w14:paraId="32916AB4">
            <w:pPr>
              <w:jc w:val="center"/>
              <w:rPr>
                <w:rFonts w:hint="default" w:eastAsiaTheme="minorEastAsia"/>
                <w:vertAlign w:val="baseline"/>
                <w:lang w:val="en-US" w:eastAsia="zh-CN"/>
              </w:rPr>
            </w:pPr>
            <w:r>
              <w:rPr>
                <w:rFonts w:hint="eastAsia"/>
                <w:vertAlign w:val="baseline"/>
                <w:lang w:val="en-US" w:eastAsia="zh-CN"/>
              </w:rPr>
              <w:t>11.25-12.1</w:t>
            </w:r>
          </w:p>
        </w:tc>
        <w:tc>
          <w:tcPr>
            <w:tcW w:w="1773" w:type="dxa"/>
            <w:vMerge w:val="continue"/>
          </w:tcPr>
          <w:p w14:paraId="582B3B02">
            <w:pPr>
              <w:jc w:val="center"/>
              <w:rPr>
                <w:vertAlign w:val="baseline"/>
              </w:rPr>
            </w:pPr>
          </w:p>
        </w:tc>
        <w:tc>
          <w:tcPr>
            <w:tcW w:w="2891" w:type="dxa"/>
          </w:tcPr>
          <w:p w14:paraId="35E8052D">
            <w:pPr>
              <w:jc w:val="center"/>
              <w:rPr>
                <w:rFonts w:hint="eastAsia" w:eastAsiaTheme="minorEastAsia"/>
                <w:vertAlign w:val="baseline"/>
                <w:lang w:val="en-US" w:eastAsia="zh-CN"/>
              </w:rPr>
            </w:pPr>
            <w:r>
              <w:rPr>
                <w:rFonts w:hint="eastAsia"/>
                <w:vertAlign w:val="baseline"/>
                <w:lang w:val="en-US" w:eastAsia="zh-CN"/>
              </w:rPr>
              <w:t>实验 使用多用电表</w:t>
            </w:r>
          </w:p>
        </w:tc>
        <w:tc>
          <w:tcPr>
            <w:tcW w:w="845" w:type="dxa"/>
            <w:vMerge w:val="restart"/>
          </w:tcPr>
          <w:p w14:paraId="697DB36B">
            <w:pPr>
              <w:jc w:val="center"/>
              <w:rPr>
                <w:rFonts w:hint="eastAsia" w:eastAsiaTheme="minorEastAsia"/>
                <w:vertAlign w:val="baseline"/>
                <w:lang w:val="en-US" w:eastAsia="zh-CN"/>
              </w:rPr>
            </w:pPr>
            <w:r>
              <w:rPr>
                <w:rFonts w:hint="eastAsia"/>
                <w:vertAlign w:val="baseline"/>
                <w:lang w:val="en-US" w:eastAsia="zh-CN"/>
              </w:rPr>
              <w:t>6</w:t>
            </w:r>
          </w:p>
        </w:tc>
        <w:tc>
          <w:tcPr>
            <w:tcW w:w="777" w:type="dxa"/>
            <w:vMerge w:val="restart"/>
          </w:tcPr>
          <w:p w14:paraId="394D437F">
            <w:pPr>
              <w:jc w:val="center"/>
              <w:rPr>
                <w:rFonts w:hint="default" w:eastAsiaTheme="minorEastAsia"/>
                <w:vertAlign w:val="baseline"/>
                <w:lang w:val="en-US" w:eastAsia="zh-CN"/>
              </w:rPr>
            </w:pPr>
            <w:r>
              <w:rPr>
                <w:rFonts w:hint="eastAsia"/>
                <w:vertAlign w:val="baseline"/>
                <w:lang w:val="en-US" w:eastAsia="zh-CN"/>
              </w:rPr>
              <w:t>62</w:t>
            </w:r>
          </w:p>
        </w:tc>
      </w:tr>
      <w:tr w14:paraId="396DE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54" w:type="dxa"/>
            <w:vMerge w:val="continue"/>
          </w:tcPr>
          <w:p w14:paraId="2E0B6F3C">
            <w:pPr>
              <w:jc w:val="center"/>
            </w:pPr>
          </w:p>
        </w:tc>
        <w:tc>
          <w:tcPr>
            <w:tcW w:w="1282" w:type="dxa"/>
            <w:vMerge w:val="continue"/>
          </w:tcPr>
          <w:p w14:paraId="491F7AF4">
            <w:pPr>
              <w:jc w:val="center"/>
            </w:pPr>
          </w:p>
        </w:tc>
        <w:tc>
          <w:tcPr>
            <w:tcW w:w="1773" w:type="dxa"/>
            <w:vMerge w:val="continue"/>
          </w:tcPr>
          <w:p w14:paraId="095EE236">
            <w:pPr>
              <w:jc w:val="center"/>
            </w:pPr>
          </w:p>
        </w:tc>
        <w:tc>
          <w:tcPr>
            <w:tcW w:w="2891" w:type="dxa"/>
          </w:tcPr>
          <w:p w14:paraId="3AA00B61">
            <w:pPr>
              <w:jc w:val="center"/>
              <w:rPr>
                <w:rFonts w:hint="default" w:ascii="Calibri" w:hAnsi="Calibri" w:eastAsia="宋体" w:cs="Calibri"/>
                <w:sz w:val="21"/>
                <w:szCs w:val="21"/>
                <w:lang w:val="en-US" w:eastAsia="zh-CN"/>
              </w:rPr>
            </w:pPr>
            <w:r>
              <w:rPr>
                <w:rFonts w:hint="default" w:ascii="Calibri" w:hAnsi="Calibri" w:cs="Calibri"/>
                <w:sz w:val="21"/>
                <w:szCs w:val="21"/>
              </w:rPr>
              <w:t>1.</w:t>
            </w:r>
            <w:r>
              <w:rPr>
                <w:rFonts w:hint="eastAsia" w:ascii="宋体" w:hAnsi="宋体" w:eastAsia="宋体" w:cs="宋体"/>
                <w:sz w:val="21"/>
                <w:szCs w:val="21"/>
              </w:rPr>
              <w:t>磁场</w:t>
            </w:r>
            <w:r>
              <w:rPr>
                <w:rFonts w:hint="eastAsia" w:ascii="宋体" w:hAnsi="宋体" w:eastAsia="宋体" w:cs="宋体"/>
                <w:sz w:val="21"/>
                <w:szCs w:val="21"/>
                <w:lang w:eastAsia="zh-CN"/>
              </w:rPr>
              <w:t>的</w:t>
            </w:r>
            <w:r>
              <w:rPr>
                <w:rFonts w:hint="eastAsia" w:ascii="宋体" w:hAnsi="宋体" w:eastAsia="宋体" w:cs="宋体"/>
                <w:sz w:val="21"/>
                <w:szCs w:val="21"/>
                <w:lang w:val="en-US" w:eastAsia="zh-CN"/>
              </w:rPr>
              <w:t>描述 安培力</w:t>
            </w:r>
          </w:p>
        </w:tc>
        <w:tc>
          <w:tcPr>
            <w:tcW w:w="845" w:type="dxa"/>
            <w:vMerge w:val="continue"/>
          </w:tcPr>
          <w:p w14:paraId="238847FC">
            <w:pPr>
              <w:jc w:val="center"/>
              <w:rPr>
                <w:rFonts w:hint="default" w:ascii="Calibri" w:hAnsi="Calibri" w:cs="Calibri"/>
                <w:sz w:val="21"/>
                <w:szCs w:val="21"/>
              </w:rPr>
            </w:pPr>
          </w:p>
        </w:tc>
        <w:tc>
          <w:tcPr>
            <w:tcW w:w="777" w:type="dxa"/>
            <w:vMerge w:val="continue"/>
          </w:tcPr>
          <w:p w14:paraId="77884C29">
            <w:pPr>
              <w:jc w:val="center"/>
              <w:rPr>
                <w:rFonts w:hint="default" w:ascii="Calibri" w:hAnsi="Calibri" w:cs="Calibri"/>
                <w:sz w:val="21"/>
                <w:szCs w:val="21"/>
              </w:rPr>
            </w:pPr>
          </w:p>
        </w:tc>
      </w:tr>
      <w:tr w14:paraId="68C64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54" w:type="dxa"/>
            <w:vMerge w:val="continue"/>
          </w:tcPr>
          <w:p w14:paraId="08116309">
            <w:pPr>
              <w:jc w:val="center"/>
            </w:pPr>
          </w:p>
        </w:tc>
        <w:tc>
          <w:tcPr>
            <w:tcW w:w="1282" w:type="dxa"/>
            <w:vMerge w:val="continue"/>
          </w:tcPr>
          <w:p w14:paraId="33247F86">
            <w:pPr>
              <w:jc w:val="center"/>
            </w:pPr>
          </w:p>
        </w:tc>
        <w:tc>
          <w:tcPr>
            <w:tcW w:w="1773" w:type="dxa"/>
            <w:vMerge w:val="continue"/>
          </w:tcPr>
          <w:p w14:paraId="19CCF1CD">
            <w:pPr>
              <w:jc w:val="center"/>
            </w:pPr>
          </w:p>
        </w:tc>
        <w:tc>
          <w:tcPr>
            <w:tcW w:w="2891" w:type="dxa"/>
          </w:tcPr>
          <w:p w14:paraId="20F47233">
            <w:pPr>
              <w:jc w:val="center"/>
              <w:rPr>
                <w:rFonts w:hint="default" w:ascii="Calibri" w:hAnsi="Calibri" w:cs="Calibri"/>
                <w:sz w:val="21"/>
                <w:szCs w:val="21"/>
              </w:rPr>
            </w:pPr>
            <w:r>
              <w:rPr>
                <w:rFonts w:hint="default" w:ascii="Calibri" w:hAnsi="Calibri" w:cs="Calibri"/>
                <w:sz w:val="21"/>
                <w:szCs w:val="21"/>
              </w:rPr>
              <w:t>2.</w:t>
            </w:r>
            <w:r>
              <w:rPr>
                <w:rFonts w:hint="eastAsia" w:ascii="宋体" w:hAnsi="宋体" w:eastAsia="宋体" w:cs="宋体"/>
                <w:sz w:val="21"/>
                <w:szCs w:val="21"/>
              </w:rPr>
              <w:t>磁场对运动电荷的作用</w:t>
            </w:r>
          </w:p>
        </w:tc>
        <w:tc>
          <w:tcPr>
            <w:tcW w:w="845" w:type="dxa"/>
            <w:vMerge w:val="continue"/>
          </w:tcPr>
          <w:p w14:paraId="6DA19D90">
            <w:pPr>
              <w:jc w:val="center"/>
              <w:rPr>
                <w:rFonts w:hint="default" w:ascii="Calibri" w:hAnsi="Calibri" w:cs="Calibri"/>
                <w:sz w:val="21"/>
                <w:szCs w:val="21"/>
              </w:rPr>
            </w:pPr>
          </w:p>
        </w:tc>
        <w:tc>
          <w:tcPr>
            <w:tcW w:w="777" w:type="dxa"/>
            <w:vMerge w:val="continue"/>
          </w:tcPr>
          <w:p w14:paraId="0044AFE3">
            <w:pPr>
              <w:jc w:val="center"/>
              <w:rPr>
                <w:rFonts w:hint="default" w:ascii="Calibri" w:hAnsi="Calibri" w:cs="Calibri"/>
                <w:sz w:val="21"/>
                <w:szCs w:val="21"/>
              </w:rPr>
            </w:pPr>
          </w:p>
        </w:tc>
      </w:tr>
      <w:tr w14:paraId="7126E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954" w:type="dxa"/>
            <w:vMerge w:val="restart"/>
          </w:tcPr>
          <w:p w14:paraId="3CE55589">
            <w:pPr>
              <w:jc w:val="center"/>
              <w:rPr>
                <w:vertAlign w:val="baseline"/>
              </w:rPr>
            </w:pPr>
            <w:r>
              <w:rPr>
                <w:rFonts w:hint="eastAsia" w:ascii="宋体" w:hAnsi="宋体" w:eastAsia="宋体" w:cs="宋体"/>
                <w:sz w:val="21"/>
                <w:szCs w:val="21"/>
              </w:rPr>
              <w:t>第</w:t>
            </w:r>
            <w:r>
              <w:rPr>
                <w:rFonts w:hint="eastAsia" w:ascii="宋体" w:hAnsi="宋体" w:eastAsia="宋体" w:cs="宋体"/>
                <w:sz w:val="21"/>
                <w:szCs w:val="21"/>
                <w:lang w:val="en-US" w:eastAsia="zh-CN"/>
              </w:rPr>
              <w:t>14</w:t>
            </w:r>
            <w:r>
              <w:rPr>
                <w:rFonts w:hint="eastAsia" w:ascii="宋体" w:hAnsi="宋体" w:eastAsia="宋体" w:cs="宋体"/>
                <w:sz w:val="21"/>
                <w:szCs w:val="21"/>
              </w:rPr>
              <w:t>周</w:t>
            </w:r>
          </w:p>
        </w:tc>
        <w:tc>
          <w:tcPr>
            <w:tcW w:w="1282" w:type="dxa"/>
            <w:vMerge w:val="restart"/>
            <w:vAlign w:val="top"/>
          </w:tcPr>
          <w:p w14:paraId="3D1B5CBA">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12.2-12.8</w:t>
            </w:r>
          </w:p>
        </w:tc>
        <w:tc>
          <w:tcPr>
            <w:tcW w:w="1773" w:type="dxa"/>
            <w:vMerge w:val="restart"/>
          </w:tcPr>
          <w:p w14:paraId="168B8910">
            <w:pPr>
              <w:jc w:val="center"/>
              <w:rPr>
                <w:vertAlign w:val="baseline"/>
              </w:rPr>
            </w:pPr>
            <w:r>
              <w:rPr>
                <w:rFonts w:hint="eastAsia" w:ascii="宋体" w:hAnsi="宋体" w:eastAsia="宋体" w:cs="宋体"/>
                <w:sz w:val="21"/>
                <w:szCs w:val="21"/>
              </w:rPr>
              <w:t>第</w:t>
            </w:r>
            <w:r>
              <w:rPr>
                <w:rFonts w:hint="eastAsia" w:ascii="宋体" w:hAnsi="宋体" w:eastAsia="宋体" w:cs="宋体"/>
                <w:sz w:val="21"/>
                <w:szCs w:val="21"/>
                <w:lang w:val="en-US" w:eastAsia="zh-CN"/>
              </w:rPr>
              <w:t>9</w:t>
            </w:r>
            <w:r>
              <w:rPr>
                <w:rFonts w:hint="eastAsia" w:ascii="宋体" w:hAnsi="宋体" w:eastAsia="宋体" w:cs="宋体"/>
                <w:sz w:val="21"/>
                <w:szCs w:val="21"/>
              </w:rPr>
              <w:t>章 恒定电流</w:t>
            </w:r>
          </w:p>
        </w:tc>
        <w:tc>
          <w:tcPr>
            <w:tcW w:w="2891" w:type="dxa"/>
          </w:tcPr>
          <w:p w14:paraId="660D7740">
            <w:pPr>
              <w:jc w:val="center"/>
              <w:rPr>
                <w:rFonts w:hint="default" w:eastAsiaTheme="minorEastAsia"/>
                <w:vertAlign w:val="baseline"/>
                <w:lang w:val="en-US" w:eastAsia="zh-CN"/>
              </w:rPr>
            </w:pPr>
            <w:r>
              <w:rPr>
                <w:rFonts w:hint="eastAsia" w:ascii="宋体" w:hAnsi="宋体" w:eastAsia="宋体" w:cs="宋体"/>
                <w:sz w:val="21"/>
                <w:szCs w:val="21"/>
              </w:rPr>
              <w:t>带电粒子在组合场中的运动</w:t>
            </w:r>
          </w:p>
        </w:tc>
        <w:tc>
          <w:tcPr>
            <w:tcW w:w="845" w:type="dxa"/>
            <w:vMerge w:val="restart"/>
          </w:tcPr>
          <w:p w14:paraId="6CDFA4A4">
            <w:pPr>
              <w:jc w:val="center"/>
              <w:rPr>
                <w:rFonts w:hint="eastAsia" w:eastAsiaTheme="minorEastAsia"/>
                <w:vertAlign w:val="baseline"/>
                <w:lang w:val="en-US" w:eastAsia="zh-CN"/>
              </w:rPr>
            </w:pPr>
            <w:r>
              <w:rPr>
                <w:rFonts w:hint="eastAsia"/>
                <w:vertAlign w:val="baseline"/>
                <w:lang w:val="en-US" w:eastAsia="zh-CN"/>
              </w:rPr>
              <w:t>6</w:t>
            </w:r>
          </w:p>
        </w:tc>
        <w:tc>
          <w:tcPr>
            <w:tcW w:w="777" w:type="dxa"/>
            <w:vMerge w:val="restart"/>
          </w:tcPr>
          <w:p w14:paraId="69683A52">
            <w:pPr>
              <w:jc w:val="center"/>
              <w:rPr>
                <w:rFonts w:hint="default" w:eastAsiaTheme="minorEastAsia"/>
                <w:vertAlign w:val="baseline"/>
                <w:lang w:val="en-US" w:eastAsia="zh-CN"/>
              </w:rPr>
            </w:pPr>
            <w:r>
              <w:rPr>
                <w:rFonts w:hint="eastAsia"/>
                <w:vertAlign w:val="baseline"/>
                <w:lang w:val="en-US" w:eastAsia="zh-CN"/>
              </w:rPr>
              <w:t>68</w:t>
            </w:r>
          </w:p>
        </w:tc>
      </w:tr>
      <w:tr w14:paraId="692C9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954" w:type="dxa"/>
            <w:vMerge w:val="continue"/>
          </w:tcPr>
          <w:p w14:paraId="006F52A5">
            <w:pPr>
              <w:jc w:val="center"/>
            </w:pPr>
          </w:p>
        </w:tc>
        <w:tc>
          <w:tcPr>
            <w:tcW w:w="1282" w:type="dxa"/>
            <w:vMerge w:val="continue"/>
            <w:vAlign w:val="top"/>
          </w:tcPr>
          <w:p w14:paraId="53CCC028">
            <w:pPr>
              <w:jc w:val="center"/>
            </w:pPr>
          </w:p>
        </w:tc>
        <w:tc>
          <w:tcPr>
            <w:tcW w:w="1773" w:type="dxa"/>
            <w:vMerge w:val="continue"/>
          </w:tcPr>
          <w:p w14:paraId="486E29CF">
            <w:pPr>
              <w:jc w:val="center"/>
            </w:pPr>
          </w:p>
        </w:tc>
        <w:tc>
          <w:tcPr>
            <w:tcW w:w="2891" w:type="dxa"/>
          </w:tcPr>
          <w:p w14:paraId="02B8908C">
            <w:pPr>
              <w:jc w:val="center"/>
              <w:rPr>
                <w:rFonts w:hint="eastAsia"/>
                <w:vertAlign w:val="baseline"/>
                <w:lang w:val="en-US" w:eastAsia="zh-CN"/>
              </w:rPr>
            </w:pPr>
            <w:r>
              <w:rPr>
                <w:rFonts w:hint="eastAsia" w:ascii="宋体" w:hAnsi="宋体" w:eastAsia="宋体" w:cs="宋体"/>
                <w:sz w:val="21"/>
                <w:szCs w:val="21"/>
              </w:rPr>
              <w:t>带电粒子在叠加产中的运动</w:t>
            </w:r>
          </w:p>
        </w:tc>
        <w:tc>
          <w:tcPr>
            <w:tcW w:w="845" w:type="dxa"/>
            <w:vMerge w:val="continue"/>
          </w:tcPr>
          <w:p w14:paraId="6345AF96">
            <w:pPr>
              <w:jc w:val="center"/>
              <w:rPr>
                <w:rFonts w:hint="eastAsia"/>
                <w:vertAlign w:val="baseline"/>
                <w:lang w:val="en-US" w:eastAsia="zh-CN"/>
              </w:rPr>
            </w:pPr>
          </w:p>
        </w:tc>
        <w:tc>
          <w:tcPr>
            <w:tcW w:w="777" w:type="dxa"/>
            <w:vMerge w:val="continue"/>
          </w:tcPr>
          <w:p w14:paraId="7E168F2C">
            <w:pPr>
              <w:jc w:val="center"/>
              <w:rPr>
                <w:rFonts w:hint="eastAsia"/>
                <w:vertAlign w:val="baseline"/>
                <w:lang w:val="en-US" w:eastAsia="zh-CN"/>
              </w:rPr>
            </w:pPr>
          </w:p>
        </w:tc>
      </w:tr>
      <w:tr w14:paraId="64F1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954" w:type="dxa"/>
            <w:vMerge w:val="continue"/>
          </w:tcPr>
          <w:p w14:paraId="2DFD2189">
            <w:pPr>
              <w:jc w:val="center"/>
              <w:rPr>
                <w:rFonts w:hint="eastAsia"/>
                <w:vertAlign w:val="baseline"/>
                <w:lang w:val="en-US" w:eastAsia="zh-CN"/>
              </w:rPr>
            </w:pPr>
          </w:p>
        </w:tc>
        <w:tc>
          <w:tcPr>
            <w:tcW w:w="1282" w:type="dxa"/>
            <w:vMerge w:val="continue"/>
            <w:vAlign w:val="top"/>
          </w:tcPr>
          <w:p w14:paraId="75545BAF">
            <w:pPr>
              <w:jc w:val="center"/>
              <w:rPr>
                <w:rFonts w:hint="eastAsia"/>
                <w:vertAlign w:val="baseline"/>
                <w:lang w:val="en-US" w:eastAsia="zh-CN"/>
              </w:rPr>
            </w:pPr>
          </w:p>
        </w:tc>
        <w:tc>
          <w:tcPr>
            <w:tcW w:w="1773" w:type="dxa"/>
            <w:vMerge w:val="continue"/>
          </w:tcPr>
          <w:p w14:paraId="004EC046">
            <w:pPr>
              <w:jc w:val="center"/>
              <w:rPr>
                <w:rFonts w:hint="eastAsia"/>
                <w:vertAlign w:val="baseline"/>
                <w:lang w:val="en-US" w:eastAsia="zh-CN"/>
              </w:rPr>
            </w:pPr>
          </w:p>
        </w:tc>
        <w:tc>
          <w:tcPr>
            <w:tcW w:w="2891" w:type="dxa"/>
          </w:tcPr>
          <w:p w14:paraId="5DA7D04B">
            <w:pPr>
              <w:jc w:val="center"/>
              <w:rPr>
                <w:rFonts w:hint="default"/>
                <w:vertAlign w:val="baseline"/>
                <w:lang w:val="en-US" w:eastAsia="zh-CN"/>
              </w:rPr>
            </w:pPr>
            <w:r>
              <w:rPr>
                <w:rFonts w:hint="eastAsia"/>
                <w:vertAlign w:val="baseline"/>
                <w:lang w:val="en-US" w:eastAsia="zh-CN"/>
              </w:rPr>
              <w:t>洛伦兹力与现代科技</w:t>
            </w:r>
          </w:p>
        </w:tc>
        <w:tc>
          <w:tcPr>
            <w:tcW w:w="845" w:type="dxa"/>
            <w:vMerge w:val="continue"/>
          </w:tcPr>
          <w:p w14:paraId="1F0FD9C0">
            <w:pPr>
              <w:jc w:val="center"/>
              <w:rPr>
                <w:rFonts w:hint="eastAsia"/>
                <w:vertAlign w:val="baseline"/>
                <w:lang w:val="en-US" w:eastAsia="zh-CN"/>
              </w:rPr>
            </w:pPr>
          </w:p>
        </w:tc>
        <w:tc>
          <w:tcPr>
            <w:tcW w:w="777" w:type="dxa"/>
            <w:vMerge w:val="continue"/>
          </w:tcPr>
          <w:p w14:paraId="1C78E7BE">
            <w:pPr>
              <w:jc w:val="center"/>
              <w:rPr>
                <w:rFonts w:hint="eastAsia"/>
                <w:vertAlign w:val="baseline"/>
                <w:lang w:val="en-US" w:eastAsia="zh-CN"/>
              </w:rPr>
            </w:pPr>
          </w:p>
        </w:tc>
      </w:tr>
      <w:tr w14:paraId="2A4C1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54" w:type="dxa"/>
            <w:vMerge w:val="restart"/>
          </w:tcPr>
          <w:p w14:paraId="20F1CAFF">
            <w:pPr>
              <w:jc w:val="center"/>
              <w:rPr>
                <w:vertAlign w:val="baseline"/>
              </w:rPr>
            </w:pPr>
            <w:r>
              <w:rPr>
                <w:rFonts w:hint="eastAsia" w:ascii="宋体" w:hAnsi="宋体" w:eastAsia="宋体" w:cs="宋体"/>
                <w:sz w:val="21"/>
                <w:szCs w:val="21"/>
              </w:rPr>
              <w:t>第</w:t>
            </w:r>
            <w:r>
              <w:rPr>
                <w:rFonts w:hint="eastAsia" w:ascii="宋体" w:hAnsi="宋体" w:eastAsia="宋体" w:cs="宋体"/>
                <w:sz w:val="21"/>
                <w:szCs w:val="21"/>
                <w:lang w:val="en-US" w:eastAsia="zh-CN"/>
              </w:rPr>
              <w:t xml:space="preserve">15 </w:t>
            </w:r>
          </w:p>
        </w:tc>
        <w:tc>
          <w:tcPr>
            <w:tcW w:w="1282" w:type="dxa"/>
            <w:vMerge w:val="restart"/>
          </w:tcPr>
          <w:p w14:paraId="5F811B4B">
            <w:pPr>
              <w:jc w:val="center"/>
              <w:rPr>
                <w:rFonts w:hint="default" w:eastAsiaTheme="minorEastAsia"/>
                <w:vertAlign w:val="baseline"/>
                <w:lang w:val="en-US" w:eastAsia="zh-CN"/>
              </w:rPr>
            </w:pPr>
            <w:r>
              <w:rPr>
                <w:rFonts w:hint="eastAsia"/>
                <w:vertAlign w:val="baseline"/>
                <w:lang w:val="en-US" w:eastAsia="zh-CN"/>
              </w:rPr>
              <w:t>12.9-12.15</w:t>
            </w:r>
          </w:p>
        </w:tc>
        <w:tc>
          <w:tcPr>
            <w:tcW w:w="1773" w:type="dxa"/>
            <w:vMerge w:val="continue"/>
          </w:tcPr>
          <w:p w14:paraId="185F1A0D">
            <w:pPr>
              <w:jc w:val="center"/>
              <w:rPr>
                <w:vertAlign w:val="baseline"/>
              </w:rPr>
            </w:pPr>
          </w:p>
        </w:tc>
        <w:tc>
          <w:tcPr>
            <w:tcW w:w="2891" w:type="dxa"/>
          </w:tcPr>
          <w:p w14:paraId="7688F25B">
            <w:pPr>
              <w:jc w:val="center"/>
              <w:rPr>
                <w:rFonts w:hint="default"/>
                <w:vertAlign w:val="baseline"/>
                <w:lang w:val="en-US" w:eastAsia="zh-CN"/>
              </w:rPr>
            </w:pPr>
            <w:r>
              <w:rPr>
                <w:rFonts w:hint="default" w:ascii="Calibri" w:hAnsi="Calibri" w:cs="Calibri"/>
                <w:sz w:val="21"/>
                <w:szCs w:val="21"/>
              </w:rPr>
              <w:t>1.</w:t>
            </w:r>
            <w:r>
              <w:rPr>
                <w:rFonts w:hint="eastAsia" w:ascii="宋体" w:hAnsi="宋体" w:eastAsia="宋体" w:cs="宋体"/>
                <w:sz w:val="21"/>
                <w:szCs w:val="21"/>
              </w:rPr>
              <w:t>电磁感应现象 楞次定律</w:t>
            </w:r>
          </w:p>
        </w:tc>
        <w:tc>
          <w:tcPr>
            <w:tcW w:w="845" w:type="dxa"/>
            <w:vMerge w:val="restart"/>
          </w:tcPr>
          <w:p w14:paraId="564B7E93">
            <w:pPr>
              <w:jc w:val="center"/>
              <w:rPr>
                <w:rFonts w:hint="default" w:eastAsiaTheme="minorEastAsia"/>
                <w:vertAlign w:val="baseline"/>
                <w:lang w:val="en-US" w:eastAsia="zh-CN"/>
              </w:rPr>
            </w:pPr>
            <w:r>
              <w:rPr>
                <w:rFonts w:hint="eastAsia"/>
                <w:vertAlign w:val="baseline"/>
                <w:lang w:val="en-US" w:eastAsia="zh-CN"/>
              </w:rPr>
              <w:t>6</w:t>
            </w:r>
          </w:p>
        </w:tc>
        <w:tc>
          <w:tcPr>
            <w:tcW w:w="777" w:type="dxa"/>
            <w:vMerge w:val="restart"/>
          </w:tcPr>
          <w:p w14:paraId="36C858F0">
            <w:pPr>
              <w:jc w:val="center"/>
              <w:rPr>
                <w:rFonts w:hint="default" w:eastAsiaTheme="minorEastAsia"/>
                <w:vertAlign w:val="baseline"/>
                <w:lang w:val="en-US" w:eastAsia="zh-CN"/>
              </w:rPr>
            </w:pPr>
            <w:r>
              <w:rPr>
                <w:rFonts w:hint="eastAsia"/>
                <w:vertAlign w:val="baseline"/>
                <w:lang w:val="en-US" w:eastAsia="zh-CN"/>
              </w:rPr>
              <w:t>74</w:t>
            </w:r>
          </w:p>
        </w:tc>
      </w:tr>
      <w:tr w14:paraId="34405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954" w:type="dxa"/>
            <w:vMerge w:val="continue"/>
          </w:tcPr>
          <w:p w14:paraId="044E6635">
            <w:pPr>
              <w:jc w:val="center"/>
            </w:pPr>
          </w:p>
        </w:tc>
        <w:tc>
          <w:tcPr>
            <w:tcW w:w="1282" w:type="dxa"/>
            <w:vMerge w:val="continue"/>
          </w:tcPr>
          <w:p w14:paraId="43D054C3">
            <w:pPr>
              <w:jc w:val="center"/>
            </w:pPr>
          </w:p>
        </w:tc>
        <w:tc>
          <w:tcPr>
            <w:tcW w:w="1773" w:type="dxa"/>
            <w:vMerge w:val="continue"/>
          </w:tcPr>
          <w:p w14:paraId="39519837">
            <w:pPr>
              <w:jc w:val="center"/>
            </w:pPr>
          </w:p>
        </w:tc>
        <w:tc>
          <w:tcPr>
            <w:tcW w:w="2891" w:type="dxa"/>
          </w:tcPr>
          <w:p w14:paraId="4CA8B1D7">
            <w:pPr>
              <w:jc w:val="center"/>
              <w:rPr>
                <w:rFonts w:hint="default"/>
                <w:vertAlign w:val="baseline"/>
                <w:lang w:val="en-US" w:eastAsia="zh-CN"/>
              </w:rPr>
            </w:pPr>
            <w:r>
              <w:rPr>
                <w:rFonts w:hint="eastAsia" w:ascii="Calibri" w:hAnsi="Calibri" w:cs="Calibri"/>
                <w:sz w:val="21"/>
                <w:szCs w:val="21"/>
                <w:lang w:val="en-US" w:eastAsia="zh-CN"/>
              </w:rPr>
              <w:t>实验 探究影响感应电流方向的因素</w:t>
            </w:r>
          </w:p>
        </w:tc>
        <w:tc>
          <w:tcPr>
            <w:tcW w:w="845" w:type="dxa"/>
            <w:vMerge w:val="continue"/>
          </w:tcPr>
          <w:p w14:paraId="2954EB5E">
            <w:pPr>
              <w:jc w:val="center"/>
              <w:rPr>
                <w:rFonts w:hint="default"/>
                <w:vertAlign w:val="baseline"/>
                <w:lang w:val="en-US" w:eastAsia="zh-CN"/>
              </w:rPr>
            </w:pPr>
          </w:p>
        </w:tc>
        <w:tc>
          <w:tcPr>
            <w:tcW w:w="777" w:type="dxa"/>
            <w:vMerge w:val="continue"/>
          </w:tcPr>
          <w:p w14:paraId="741ABB3C">
            <w:pPr>
              <w:jc w:val="center"/>
              <w:rPr>
                <w:rFonts w:hint="default"/>
                <w:vertAlign w:val="baseline"/>
                <w:lang w:val="en-US" w:eastAsia="zh-CN"/>
              </w:rPr>
            </w:pPr>
          </w:p>
        </w:tc>
      </w:tr>
      <w:tr w14:paraId="6549B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54" w:type="dxa"/>
            <w:vMerge w:val="continue"/>
          </w:tcPr>
          <w:p w14:paraId="633745AF">
            <w:pPr>
              <w:jc w:val="center"/>
              <w:rPr>
                <w:rFonts w:hint="default"/>
                <w:vertAlign w:val="baseline"/>
                <w:lang w:val="en-US" w:eastAsia="zh-CN"/>
              </w:rPr>
            </w:pPr>
          </w:p>
        </w:tc>
        <w:tc>
          <w:tcPr>
            <w:tcW w:w="1282" w:type="dxa"/>
            <w:vMerge w:val="continue"/>
          </w:tcPr>
          <w:p w14:paraId="3E4E90C9">
            <w:pPr>
              <w:jc w:val="center"/>
              <w:rPr>
                <w:rFonts w:hint="default"/>
                <w:vertAlign w:val="baseline"/>
                <w:lang w:val="en-US" w:eastAsia="zh-CN"/>
              </w:rPr>
            </w:pPr>
          </w:p>
        </w:tc>
        <w:tc>
          <w:tcPr>
            <w:tcW w:w="1773" w:type="dxa"/>
            <w:vMerge w:val="continue"/>
          </w:tcPr>
          <w:p w14:paraId="17557618">
            <w:pPr>
              <w:jc w:val="center"/>
              <w:rPr>
                <w:rFonts w:hint="default"/>
                <w:vertAlign w:val="baseline"/>
                <w:lang w:val="en-US" w:eastAsia="zh-CN"/>
              </w:rPr>
            </w:pPr>
          </w:p>
        </w:tc>
        <w:tc>
          <w:tcPr>
            <w:tcW w:w="2891" w:type="dxa"/>
            <w:tcBorders/>
          </w:tcPr>
          <w:p w14:paraId="42432529">
            <w:pPr>
              <w:jc w:val="center"/>
              <w:rPr>
                <w:rFonts w:hint="default"/>
                <w:vertAlign w:val="baseline"/>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法拉第电磁感应定律  自感</w:t>
            </w:r>
            <w:r>
              <w:rPr>
                <w:rFonts w:hint="eastAsia" w:ascii="宋体" w:hAnsi="宋体" w:eastAsia="宋体" w:cs="宋体"/>
                <w:sz w:val="21"/>
                <w:szCs w:val="21"/>
                <w:lang w:val="en-US" w:eastAsia="zh-CN"/>
              </w:rPr>
              <w:t>和</w:t>
            </w:r>
            <w:r>
              <w:rPr>
                <w:rFonts w:hint="eastAsia" w:ascii="宋体" w:hAnsi="宋体" w:eastAsia="宋体" w:cs="宋体"/>
                <w:sz w:val="21"/>
                <w:szCs w:val="21"/>
              </w:rPr>
              <w:t>涡流</w:t>
            </w:r>
          </w:p>
        </w:tc>
        <w:tc>
          <w:tcPr>
            <w:tcW w:w="845" w:type="dxa"/>
            <w:vMerge w:val="continue"/>
          </w:tcPr>
          <w:p w14:paraId="601349D5">
            <w:pPr>
              <w:jc w:val="center"/>
              <w:rPr>
                <w:rFonts w:hint="default"/>
                <w:vertAlign w:val="baseline"/>
                <w:lang w:val="en-US" w:eastAsia="zh-CN"/>
              </w:rPr>
            </w:pPr>
          </w:p>
        </w:tc>
        <w:tc>
          <w:tcPr>
            <w:tcW w:w="777" w:type="dxa"/>
            <w:vMerge w:val="continue"/>
          </w:tcPr>
          <w:p w14:paraId="07387E14">
            <w:pPr>
              <w:jc w:val="center"/>
              <w:rPr>
                <w:rFonts w:hint="default"/>
                <w:vertAlign w:val="baseline"/>
                <w:lang w:val="en-US" w:eastAsia="zh-CN"/>
              </w:rPr>
            </w:pPr>
          </w:p>
        </w:tc>
      </w:tr>
      <w:tr w14:paraId="6705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954" w:type="dxa"/>
            <w:vMerge w:val="restart"/>
          </w:tcPr>
          <w:p w14:paraId="1778A3B9">
            <w:pPr>
              <w:jc w:val="center"/>
              <w:rPr>
                <w:vertAlign w:val="baseline"/>
              </w:rPr>
            </w:pPr>
            <w:r>
              <w:rPr>
                <w:rFonts w:hint="eastAsia" w:ascii="宋体" w:hAnsi="宋体" w:eastAsia="宋体" w:cs="宋体"/>
                <w:sz w:val="21"/>
                <w:szCs w:val="21"/>
              </w:rPr>
              <w:t>第</w:t>
            </w:r>
            <w:r>
              <w:rPr>
                <w:rFonts w:hint="eastAsia" w:ascii="宋体" w:hAnsi="宋体" w:eastAsia="宋体" w:cs="宋体"/>
                <w:sz w:val="21"/>
                <w:szCs w:val="21"/>
                <w:lang w:val="en-US" w:eastAsia="zh-CN"/>
              </w:rPr>
              <w:t>16</w:t>
            </w:r>
            <w:r>
              <w:rPr>
                <w:rFonts w:hint="eastAsia" w:ascii="宋体" w:hAnsi="宋体" w:eastAsia="宋体" w:cs="宋体"/>
                <w:sz w:val="21"/>
                <w:szCs w:val="21"/>
              </w:rPr>
              <w:t>周</w:t>
            </w:r>
          </w:p>
        </w:tc>
        <w:tc>
          <w:tcPr>
            <w:tcW w:w="1282" w:type="dxa"/>
            <w:vMerge w:val="restart"/>
          </w:tcPr>
          <w:p w14:paraId="4EEED87D">
            <w:pPr>
              <w:jc w:val="center"/>
              <w:rPr>
                <w:rFonts w:hint="default" w:eastAsiaTheme="minorEastAsia"/>
                <w:vertAlign w:val="baseline"/>
                <w:lang w:val="en-US" w:eastAsia="zh-CN"/>
              </w:rPr>
            </w:pPr>
            <w:r>
              <w:rPr>
                <w:rFonts w:hint="eastAsia"/>
                <w:vertAlign w:val="baseline"/>
                <w:lang w:val="en-US" w:eastAsia="zh-CN"/>
              </w:rPr>
              <w:t>12.16-12.22</w:t>
            </w:r>
          </w:p>
        </w:tc>
        <w:tc>
          <w:tcPr>
            <w:tcW w:w="1773" w:type="dxa"/>
            <w:vMerge w:val="restart"/>
          </w:tcPr>
          <w:p w14:paraId="27E5438B">
            <w:pPr>
              <w:jc w:val="center"/>
              <w:rPr>
                <w:vertAlign w:val="baseline"/>
              </w:rPr>
            </w:pPr>
            <w:r>
              <w:rPr>
                <w:rFonts w:hint="eastAsia" w:ascii="宋体" w:hAnsi="宋体" w:eastAsia="宋体" w:cs="宋体"/>
                <w:sz w:val="21"/>
                <w:szCs w:val="21"/>
              </w:rPr>
              <w:t>第</w:t>
            </w:r>
            <w:r>
              <w:rPr>
                <w:rFonts w:hint="eastAsia" w:ascii="宋体" w:hAnsi="宋体" w:eastAsia="宋体" w:cs="宋体"/>
                <w:sz w:val="21"/>
                <w:szCs w:val="21"/>
                <w:lang w:val="en-US" w:eastAsia="zh-CN"/>
              </w:rPr>
              <w:t>10</w:t>
            </w:r>
            <w:r>
              <w:rPr>
                <w:rFonts w:hint="eastAsia" w:ascii="宋体" w:hAnsi="宋体" w:eastAsia="宋体" w:cs="宋体"/>
                <w:sz w:val="21"/>
                <w:szCs w:val="21"/>
              </w:rPr>
              <w:t>章 磁场</w:t>
            </w:r>
          </w:p>
        </w:tc>
        <w:tc>
          <w:tcPr>
            <w:tcW w:w="2891" w:type="dxa"/>
          </w:tcPr>
          <w:p w14:paraId="004338BE">
            <w:pPr>
              <w:jc w:val="center"/>
              <w:rPr>
                <w:rFonts w:hint="default"/>
                <w:vertAlign w:val="baseline"/>
                <w:lang w:val="en-US"/>
              </w:rPr>
            </w:pPr>
            <w:r>
              <w:rPr>
                <w:rFonts w:hint="eastAsia" w:ascii="宋体" w:hAnsi="宋体" w:eastAsia="宋体" w:cs="宋体"/>
                <w:sz w:val="21"/>
                <w:szCs w:val="21"/>
              </w:rPr>
              <w:t>电磁感应中的电路和图像问题</w:t>
            </w:r>
          </w:p>
        </w:tc>
        <w:tc>
          <w:tcPr>
            <w:tcW w:w="845" w:type="dxa"/>
            <w:vMerge w:val="restart"/>
          </w:tcPr>
          <w:p w14:paraId="484D9E35">
            <w:pPr>
              <w:jc w:val="center"/>
              <w:rPr>
                <w:rFonts w:hint="eastAsia" w:eastAsiaTheme="minorEastAsia"/>
                <w:vertAlign w:val="baseline"/>
                <w:lang w:val="en-US" w:eastAsia="zh-CN"/>
              </w:rPr>
            </w:pPr>
            <w:r>
              <w:rPr>
                <w:rFonts w:hint="eastAsia"/>
                <w:vertAlign w:val="baseline"/>
                <w:lang w:val="en-US" w:eastAsia="zh-CN"/>
              </w:rPr>
              <w:t>6</w:t>
            </w:r>
          </w:p>
        </w:tc>
        <w:tc>
          <w:tcPr>
            <w:tcW w:w="777" w:type="dxa"/>
            <w:vMerge w:val="restart"/>
          </w:tcPr>
          <w:p w14:paraId="0AE1CFFE">
            <w:pPr>
              <w:jc w:val="center"/>
              <w:rPr>
                <w:rFonts w:hint="default" w:eastAsiaTheme="minorEastAsia"/>
                <w:vertAlign w:val="baseline"/>
                <w:lang w:val="en-US" w:eastAsia="zh-CN"/>
              </w:rPr>
            </w:pPr>
            <w:r>
              <w:rPr>
                <w:rFonts w:hint="eastAsia"/>
                <w:vertAlign w:val="baseline"/>
                <w:lang w:val="en-US" w:eastAsia="zh-CN"/>
              </w:rPr>
              <w:t>80</w:t>
            </w:r>
          </w:p>
        </w:tc>
      </w:tr>
      <w:tr w14:paraId="458E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54" w:type="dxa"/>
            <w:vMerge w:val="continue"/>
          </w:tcPr>
          <w:p w14:paraId="437794FA">
            <w:pPr>
              <w:jc w:val="center"/>
            </w:pPr>
          </w:p>
        </w:tc>
        <w:tc>
          <w:tcPr>
            <w:tcW w:w="1282" w:type="dxa"/>
            <w:vMerge w:val="continue"/>
          </w:tcPr>
          <w:p w14:paraId="0A9459A6">
            <w:pPr>
              <w:jc w:val="center"/>
            </w:pPr>
          </w:p>
        </w:tc>
        <w:tc>
          <w:tcPr>
            <w:tcW w:w="1773" w:type="dxa"/>
            <w:vMerge w:val="continue"/>
          </w:tcPr>
          <w:p w14:paraId="571ABCE9">
            <w:pPr>
              <w:jc w:val="center"/>
            </w:pPr>
          </w:p>
        </w:tc>
        <w:tc>
          <w:tcPr>
            <w:tcW w:w="2891" w:type="dxa"/>
            <w:tcBorders/>
          </w:tcPr>
          <w:p w14:paraId="2CF7C3A6">
            <w:pPr>
              <w:jc w:val="center"/>
              <w:rPr>
                <w:rFonts w:hint="eastAsia"/>
                <w:vertAlign w:val="baseline"/>
                <w:lang w:val="en-US" w:eastAsia="zh-CN"/>
              </w:rPr>
            </w:pPr>
            <w:r>
              <w:rPr>
                <w:rFonts w:hint="eastAsia" w:ascii="宋体" w:hAnsi="宋体" w:eastAsia="宋体" w:cs="宋体"/>
                <w:sz w:val="21"/>
                <w:szCs w:val="21"/>
              </w:rPr>
              <w:t>电磁感应中的动力学和电量、能量问题</w:t>
            </w:r>
          </w:p>
        </w:tc>
        <w:tc>
          <w:tcPr>
            <w:tcW w:w="845" w:type="dxa"/>
            <w:vMerge w:val="continue"/>
          </w:tcPr>
          <w:p w14:paraId="197EFAFA">
            <w:pPr>
              <w:jc w:val="center"/>
              <w:rPr>
                <w:rFonts w:hint="eastAsia"/>
                <w:vertAlign w:val="baseline"/>
                <w:lang w:val="en-US" w:eastAsia="zh-CN"/>
              </w:rPr>
            </w:pPr>
          </w:p>
        </w:tc>
        <w:tc>
          <w:tcPr>
            <w:tcW w:w="777" w:type="dxa"/>
            <w:vMerge w:val="continue"/>
          </w:tcPr>
          <w:p w14:paraId="0BEF6BE8">
            <w:pPr>
              <w:jc w:val="center"/>
              <w:rPr>
                <w:rFonts w:hint="eastAsia"/>
                <w:vertAlign w:val="baseline"/>
                <w:lang w:val="en-US" w:eastAsia="zh-CN"/>
              </w:rPr>
            </w:pPr>
          </w:p>
        </w:tc>
      </w:tr>
      <w:tr w14:paraId="42A3C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954" w:type="dxa"/>
            <w:vMerge w:val="restart"/>
          </w:tcPr>
          <w:p w14:paraId="76505E48">
            <w:pPr>
              <w:rPr>
                <w:vertAlign w:val="baseline"/>
              </w:rPr>
            </w:pPr>
            <w:r>
              <w:rPr>
                <w:rFonts w:hint="eastAsia" w:ascii="宋体" w:hAnsi="宋体" w:eastAsia="宋体" w:cs="宋体"/>
                <w:sz w:val="21"/>
                <w:szCs w:val="21"/>
              </w:rPr>
              <w:t>第</w:t>
            </w:r>
            <w:r>
              <w:rPr>
                <w:rFonts w:hint="eastAsia" w:ascii="宋体" w:hAnsi="宋体" w:eastAsia="宋体" w:cs="宋体"/>
                <w:sz w:val="21"/>
                <w:szCs w:val="21"/>
                <w:lang w:val="en-US" w:eastAsia="zh-CN"/>
              </w:rPr>
              <w:t>17</w:t>
            </w:r>
            <w:r>
              <w:rPr>
                <w:rFonts w:hint="eastAsia" w:ascii="宋体" w:hAnsi="宋体" w:eastAsia="宋体" w:cs="宋体"/>
                <w:sz w:val="21"/>
                <w:szCs w:val="21"/>
              </w:rPr>
              <w:t>周</w:t>
            </w:r>
          </w:p>
        </w:tc>
        <w:tc>
          <w:tcPr>
            <w:tcW w:w="1282" w:type="dxa"/>
            <w:vMerge w:val="restart"/>
          </w:tcPr>
          <w:p w14:paraId="50373D62">
            <w:pPr>
              <w:rPr>
                <w:rFonts w:hint="default" w:eastAsiaTheme="minorEastAsia"/>
                <w:vertAlign w:val="baseline"/>
                <w:lang w:val="en-US" w:eastAsia="zh-CN"/>
              </w:rPr>
            </w:pPr>
            <w:r>
              <w:rPr>
                <w:rFonts w:hint="eastAsia"/>
                <w:vertAlign w:val="baseline"/>
                <w:lang w:val="en-US" w:eastAsia="zh-CN"/>
              </w:rPr>
              <w:t>12.23-12.29</w:t>
            </w:r>
          </w:p>
        </w:tc>
        <w:tc>
          <w:tcPr>
            <w:tcW w:w="1773" w:type="dxa"/>
            <w:vMerge w:val="restart"/>
          </w:tcPr>
          <w:p w14:paraId="6456873A">
            <w:pPr>
              <w:rPr>
                <w:vertAlign w:val="baseline"/>
              </w:rPr>
            </w:pPr>
            <w:r>
              <w:rPr>
                <w:rFonts w:hint="eastAsia" w:ascii="宋体" w:hAnsi="宋体" w:eastAsia="宋体" w:cs="宋体"/>
                <w:sz w:val="21"/>
                <w:szCs w:val="21"/>
              </w:rPr>
              <w:t>第</w:t>
            </w:r>
            <w:r>
              <w:rPr>
                <w:rFonts w:hint="default" w:ascii="Calibri" w:hAnsi="Calibri" w:cs="Calibri"/>
                <w:sz w:val="21"/>
                <w:szCs w:val="21"/>
              </w:rPr>
              <w:t>1</w:t>
            </w:r>
            <w:r>
              <w:rPr>
                <w:rFonts w:hint="eastAsia" w:ascii="Calibri" w:hAnsi="Calibri" w:cs="Calibri"/>
                <w:sz w:val="21"/>
                <w:szCs w:val="21"/>
                <w:lang w:val="en-US" w:eastAsia="zh-CN"/>
              </w:rPr>
              <w:t>1</w:t>
            </w:r>
            <w:r>
              <w:rPr>
                <w:rFonts w:hint="eastAsia" w:ascii="宋体" w:hAnsi="宋体" w:eastAsia="宋体" w:cs="宋体"/>
                <w:sz w:val="21"/>
                <w:szCs w:val="21"/>
              </w:rPr>
              <w:t>章  电磁感应</w:t>
            </w:r>
          </w:p>
        </w:tc>
        <w:tc>
          <w:tcPr>
            <w:tcW w:w="2891" w:type="dxa"/>
          </w:tcPr>
          <w:p w14:paraId="537A0DFA">
            <w:pPr>
              <w:rPr>
                <w:rFonts w:hint="default" w:eastAsiaTheme="minorEastAsia"/>
                <w:vertAlign w:val="baseline"/>
                <w:lang w:val="en-US" w:eastAsia="zh-CN"/>
              </w:rPr>
            </w:pPr>
            <w:r>
              <w:rPr>
                <w:rFonts w:hint="eastAsia"/>
                <w:vertAlign w:val="baseline"/>
                <w:lang w:val="en-US" w:eastAsia="zh-CN"/>
              </w:rPr>
              <w:t>动量观点在电磁感应中的应用</w:t>
            </w:r>
          </w:p>
        </w:tc>
        <w:tc>
          <w:tcPr>
            <w:tcW w:w="845" w:type="dxa"/>
            <w:vMerge w:val="restart"/>
          </w:tcPr>
          <w:p w14:paraId="03B1C968">
            <w:pPr>
              <w:rPr>
                <w:rFonts w:hint="eastAsia" w:eastAsiaTheme="minorEastAsia"/>
                <w:vertAlign w:val="baseline"/>
                <w:lang w:val="en-US" w:eastAsia="zh-CN"/>
              </w:rPr>
            </w:pPr>
            <w:r>
              <w:rPr>
                <w:rFonts w:hint="eastAsia"/>
                <w:vertAlign w:val="baseline"/>
                <w:lang w:val="en-US" w:eastAsia="zh-CN"/>
              </w:rPr>
              <w:t>6</w:t>
            </w:r>
          </w:p>
        </w:tc>
        <w:tc>
          <w:tcPr>
            <w:tcW w:w="777" w:type="dxa"/>
            <w:vMerge w:val="restart"/>
          </w:tcPr>
          <w:p w14:paraId="5CB43478">
            <w:pPr>
              <w:rPr>
                <w:rFonts w:hint="default" w:eastAsiaTheme="minorEastAsia"/>
                <w:vertAlign w:val="baseline"/>
                <w:lang w:val="en-US" w:eastAsia="zh-CN"/>
              </w:rPr>
            </w:pPr>
            <w:r>
              <w:rPr>
                <w:rFonts w:hint="eastAsia"/>
                <w:vertAlign w:val="baseline"/>
                <w:lang w:val="en-US" w:eastAsia="zh-CN"/>
              </w:rPr>
              <w:t>86</w:t>
            </w:r>
          </w:p>
        </w:tc>
      </w:tr>
      <w:tr w14:paraId="2568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954" w:type="dxa"/>
            <w:vMerge w:val="continue"/>
          </w:tcPr>
          <w:p w14:paraId="739AE353"/>
        </w:tc>
        <w:tc>
          <w:tcPr>
            <w:tcW w:w="1282" w:type="dxa"/>
            <w:vMerge w:val="continue"/>
          </w:tcPr>
          <w:p w14:paraId="0D3AF70D"/>
        </w:tc>
        <w:tc>
          <w:tcPr>
            <w:tcW w:w="1773" w:type="dxa"/>
            <w:vMerge w:val="continue"/>
          </w:tcPr>
          <w:p w14:paraId="039D1DE4"/>
        </w:tc>
        <w:tc>
          <w:tcPr>
            <w:tcW w:w="2891" w:type="dxa"/>
          </w:tcPr>
          <w:p w14:paraId="27A59382">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1.交变电流的产生和描述</w:t>
            </w:r>
          </w:p>
        </w:tc>
        <w:tc>
          <w:tcPr>
            <w:tcW w:w="845" w:type="dxa"/>
            <w:vMerge w:val="continue"/>
          </w:tcPr>
          <w:p w14:paraId="771EA27C">
            <w:pPr>
              <w:rPr>
                <w:rFonts w:hint="eastAsia" w:ascii="宋体" w:hAnsi="宋体" w:eastAsia="宋体" w:cs="宋体"/>
                <w:sz w:val="21"/>
                <w:szCs w:val="21"/>
              </w:rPr>
            </w:pPr>
          </w:p>
        </w:tc>
        <w:tc>
          <w:tcPr>
            <w:tcW w:w="777" w:type="dxa"/>
            <w:vMerge w:val="continue"/>
          </w:tcPr>
          <w:p w14:paraId="6C43FCE7">
            <w:pPr>
              <w:rPr>
                <w:rFonts w:hint="eastAsia" w:ascii="宋体" w:hAnsi="宋体" w:eastAsia="宋体" w:cs="宋体"/>
                <w:sz w:val="21"/>
                <w:szCs w:val="21"/>
              </w:rPr>
            </w:pPr>
          </w:p>
        </w:tc>
      </w:tr>
      <w:tr w14:paraId="335E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954" w:type="dxa"/>
            <w:vMerge w:val="continue"/>
          </w:tcPr>
          <w:p w14:paraId="74A25C1B"/>
        </w:tc>
        <w:tc>
          <w:tcPr>
            <w:tcW w:w="1282" w:type="dxa"/>
            <w:vMerge w:val="continue"/>
          </w:tcPr>
          <w:p w14:paraId="1C2ECF97"/>
        </w:tc>
        <w:tc>
          <w:tcPr>
            <w:tcW w:w="1773" w:type="dxa"/>
            <w:vMerge w:val="continue"/>
          </w:tcPr>
          <w:p w14:paraId="132CD8CB"/>
        </w:tc>
        <w:tc>
          <w:tcPr>
            <w:tcW w:w="2891" w:type="dxa"/>
          </w:tcPr>
          <w:p w14:paraId="1A82D736">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2.变压器 远距离输电 </w:t>
            </w:r>
          </w:p>
        </w:tc>
        <w:tc>
          <w:tcPr>
            <w:tcW w:w="845" w:type="dxa"/>
            <w:vMerge w:val="continue"/>
          </w:tcPr>
          <w:p w14:paraId="57CD3988">
            <w:pPr>
              <w:rPr>
                <w:rFonts w:hint="eastAsia" w:ascii="宋体" w:hAnsi="宋体" w:eastAsia="宋体" w:cs="宋体"/>
                <w:sz w:val="21"/>
                <w:szCs w:val="21"/>
                <w:lang w:val="en-US" w:eastAsia="zh-CN"/>
              </w:rPr>
            </w:pPr>
          </w:p>
        </w:tc>
        <w:tc>
          <w:tcPr>
            <w:tcW w:w="777" w:type="dxa"/>
            <w:vMerge w:val="continue"/>
          </w:tcPr>
          <w:p w14:paraId="4C6326C0">
            <w:pPr>
              <w:rPr>
                <w:rFonts w:hint="eastAsia" w:ascii="宋体" w:hAnsi="宋体" w:eastAsia="宋体" w:cs="宋体"/>
                <w:sz w:val="21"/>
                <w:szCs w:val="21"/>
                <w:lang w:val="en-US" w:eastAsia="zh-CN"/>
              </w:rPr>
            </w:pPr>
          </w:p>
        </w:tc>
      </w:tr>
      <w:tr w14:paraId="3ABAA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954" w:type="dxa"/>
            <w:vMerge w:val="continue"/>
          </w:tcPr>
          <w:p w14:paraId="1F952210">
            <w:pPr>
              <w:rPr>
                <w:rFonts w:hint="eastAsia" w:ascii="宋体" w:hAnsi="宋体" w:eastAsia="宋体" w:cs="宋体"/>
                <w:sz w:val="21"/>
                <w:szCs w:val="21"/>
                <w:lang w:val="en-US" w:eastAsia="zh-CN"/>
              </w:rPr>
            </w:pPr>
          </w:p>
        </w:tc>
        <w:tc>
          <w:tcPr>
            <w:tcW w:w="1282" w:type="dxa"/>
            <w:vMerge w:val="continue"/>
          </w:tcPr>
          <w:p w14:paraId="6037A1D1">
            <w:pPr>
              <w:rPr>
                <w:rFonts w:hint="eastAsia" w:ascii="宋体" w:hAnsi="宋体" w:eastAsia="宋体" w:cs="宋体"/>
                <w:sz w:val="21"/>
                <w:szCs w:val="21"/>
                <w:lang w:val="en-US" w:eastAsia="zh-CN"/>
              </w:rPr>
            </w:pPr>
          </w:p>
        </w:tc>
        <w:tc>
          <w:tcPr>
            <w:tcW w:w="1773" w:type="dxa"/>
            <w:vMerge w:val="continue"/>
          </w:tcPr>
          <w:p w14:paraId="2C093E0C">
            <w:pPr>
              <w:rPr>
                <w:rFonts w:hint="eastAsia" w:ascii="宋体" w:hAnsi="宋体" w:eastAsia="宋体" w:cs="宋体"/>
                <w:sz w:val="21"/>
                <w:szCs w:val="21"/>
                <w:lang w:val="en-US" w:eastAsia="zh-CN"/>
              </w:rPr>
            </w:pPr>
          </w:p>
        </w:tc>
        <w:tc>
          <w:tcPr>
            <w:tcW w:w="2891" w:type="dxa"/>
          </w:tcPr>
          <w:p w14:paraId="1942BA27">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探究变压器原、副线圈电压与匝数关系</w:t>
            </w:r>
          </w:p>
        </w:tc>
        <w:tc>
          <w:tcPr>
            <w:tcW w:w="845" w:type="dxa"/>
            <w:vMerge w:val="continue"/>
          </w:tcPr>
          <w:p w14:paraId="5A582C71">
            <w:pPr>
              <w:rPr>
                <w:rFonts w:hint="eastAsia" w:ascii="宋体" w:hAnsi="宋体" w:eastAsia="宋体" w:cs="宋体"/>
                <w:sz w:val="21"/>
                <w:szCs w:val="21"/>
                <w:lang w:val="en-US" w:eastAsia="zh-CN"/>
              </w:rPr>
            </w:pPr>
          </w:p>
        </w:tc>
        <w:tc>
          <w:tcPr>
            <w:tcW w:w="777" w:type="dxa"/>
            <w:vMerge w:val="continue"/>
          </w:tcPr>
          <w:p w14:paraId="0DB63695">
            <w:pPr>
              <w:rPr>
                <w:rFonts w:hint="eastAsia" w:ascii="宋体" w:hAnsi="宋体" w:eastAsia="宋体" w:cs="宋体"/>
                <w:sz w:val="21"/>
                <w:szCs w:val="21"/>
                <w:lang w:val="en-US" w:eastAsia="zh-CN"/>
              </w:rPr>
            </w:pPr>
          </w:p>
        </w:tc>
      </w:tr>
      <w:tr w14:paraId="30AC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954" w:type="dxa"/>
            <w:vMerge w:val="restart"/>
          </w:tcPr>
          <w:p w14:paraId="2CBC1838">
            <w:pPr>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val="en-US" w:eastAsia="zh-CN"/>
              </w:rPr>
              <w:t>18</w:t>
            </w:r>
            <w:r>
              <w:rPr>
                <w:rFonts w:hint="eastAsia" w:ascii="宋体" w:hAnsi="宋体" w:eastAsia="宋体" w:cs="宋体"/>
                <w:sz w:val="21"/>
                <w:szCs w:val="21"/>
              </w:rPr>
              <w:t>周</w:t>
            </w:r>
          </w:p>
        </w:tc>
        <w:tc>
          <w:tcPr>
            <w:tcW w:w="1282" w:type="dxa"/>
            <w:vMerge w:val="restart"/>
          </w:tcPr>
          <w:p w14:paraId="416B2CAE">
            <w:pPr>
              <w:rPr>
                <w:rFonts w:hint="default" w:eastAsiaTheme="minorEastAsia"/>
                <w:vertAlign w:val="baseline"/>
                <w:lang w:val="en-US" w:eastAsia="zh-CN"/>
              </w:rPr>
            </w:pPr>
            <w:r>
              <w:rPr>
                <w:rFonts w:hint="eastAsia"/>
                <w:vertAlign w:val="baseline"/>
                <w:lang w:val="en-US" w:eastAsia="zh-CN"/>
              </w:rPr>
              <w:t>12.30-1.5</w:t>
            </w:r>
          </w:p>
        </w:tc>
        <w:tc>
          <w:tcPr>
            <w:tcW w:w="1773" w:type="dxa"/>
            <w:vMerge w:val="continue"/>
          </w:tcPr>
          <w:p w14:paraId="553BDB6B">
            <w:pPr>
              <w:rPr>
                <w:vertAlign w:val="baseline"/>
              </w:rPr>
            </w:pPr>
          </w:p>
        </w:tc>
        <w:tc>
          <w:tcPr>
            <w:tcW w:w="2891" w:type="dxa"/>
          </w:tcPr>
          <w:p w14:paraId="4E4CDF7C">
            <w:pPr>
              <w:rPr>
                <w:rFonts w:hint="default" w:eastAsiaTheme="minorEastAsia"/>
                <w:vertAlign w:val="baseline"/>
                <w:lang w:val="en-US" w:eastAsia="zh-CN"/>
              </w:rPr>
            </w:pPr>
            <w:r>
              <w:rPr>
                <w:rFonts w:hint="eastAsia"/>
                <w:vertAlign w:val="baseline"/>
                <w:lang w:val="en-US" w:eastAsia="zh-CN"/>
              </w:rPr>
              <w:t>3.电磁振荡与电磁波</w:t>
            </w:r>
          </w:p>
        </w:tc>
        <w:tc>
          <w:tcPr>
            <w:tcW w:w="845" w:type="dxa"/>
            <w:vMerge w:val="restart"/>
          </w:tcPr>
          <w:p w14:paraId="6BAB00FF">
            <w:pPr>
              <w:rPr>
                <w:rFonts w:hint="default" w:eastAsiaTheme="minorEastAsia"/>
                <w:vertAlign w:val="baseline"/>
                <w:lang w:val="en-US" w:eastAsia="zh-CN"/>
              </w:rPr>
            </w:pPr>
            <w:r>
              <w:rPr>
                <w:rFonts w:hint="eastAsia"/>
                <w:vertAlign w:val="baseline"/>
                <w:lang w:val="en-US" w:eastAsia="zh-CN"/>
              </w:rPr>
              <w:t>6</w:t>
            </w:r>
          </w:p>
        </w:tc>
        <w:tc>
          <w:tcPr>
            <w:tcW w:w="777" w:type="dxa"/>
            <w:vMerge w:val="restart"/>
          </w:tcPr>
          <w:p w14:paraId="0FF6BA52">
            <w:pPr>
              <w:rPr>
                <w:rFonts w:hint="default" w:eastAsiaTheme="minorEastAsia"/>
                <w:vertAlign w:val="baseline"/>
                <w:lang w:val="en-US" w:eastAsia="zh-CN"/>
              </w:rPr>
            </w:pPr>
            <w:r>
              <w:rPr>
                <w:rFonts w:hint="eastAsia"/>
                <w:vertAlign w:val="baseline"/>
                <w:lang w:val="en-US" w:eastAsia="zh-CN"/>
              </w:rPr>
              <w:t>92</w:t>
            </w:r>
          </w:p>
        </w:tc>
      </w:tr>
      <w:tr w14:paraId="3786D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54" w:type="dxa"/>
            <w:vMerge w:val="continue"/>
          </w:tcPr>
          <w:p w14:paraId="00A85E29"/>
        </w:tc>
        <w:tc>
          <w:tcPr>
            <w:tcW w:w="1282" w:type="dxa"/>
            <w:vMerge w:val="continue"/>
          </w:tcPr>
          <w:p w14:paraId="68085595"/>
        </w:tc>
        <w:tc>
          <w:tcPr>
            <w:tcW w:w="1773" w:type="dxa"/>
            <w:vMerge w:val="continue"/>
          </w:tcPr>
          <w:p w14:paraId="1AB640CB"/>
        </w:tc>
        <w:tc>
          <w:tcPr>
            <w:tcW w:w="2891" w:type="dxa"/>
          </w:tcPr>
          <w:p w14:paraId="310D8732">
            <w:pP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4.传感器</w:t>
            </w:r>
          </w:p>
        </w:tc>
        <w:tc>
          <w:tcPr>
            <w:tcW w:w="845" w:type="dxa"/>
            <w:vMerge w:val="continue"/>
          </w:tcPr>
          <w:p w14:paraId="1FF236B5">
            <w:pPr>
              <w:rPr>
                <w:rFonts w:hint="default" w:ascii="Calibri" w:hAnsi="Calibri" w:cs="Calibri"/>
                <w:sz w:val="21"/>
                <w:szCs w:val="21"/>
              </w:rPr>
            </w:pPr>
          </w:p>
        </w:tc>
        <w:tc>
          <w:tcPr>
            <w:tcW w:w="777" w:type="dxa"/>
            <w:vMerge w:val="continue"/>
          </w:tcPr>
          <w:p w14:paraId="37CC45D8">
            <w:pPr>
              <w:rPr>
                <w:rFonts w:hint="default" w:ascii="Calibri" w:hAnsi="Calibri" w:cs="Calibri"/>
                <w:sz w:val="21"/>
                <w:szCs w:val="21"/>
              </w:rPr>
            </w:pPr>
          </w:p>
        </w:tc>
      </w:tr>
      <w:tr w14:paraId="5330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54" w:type="dxa"/>
            <w:vMerge w:val="continue"/>
          </w:tcPr>
          <w:p w14:paraId="3F3C9C4E"/>
        </w:tc>
        <w:tc>
          <w:tcPr>
            <w:tcW w:w="1282" w:type="dxa"/>
            <w:vMerge w:val="continue"/>
          </w:tcPr>
          <w:p w14:paraId="5642BAAF"/>
        </w:tc>
        <w:tc>
          <w:tcPr>
            <w:tcW w:w="1773" w:type="dxa"/>
            <w:vMerge w:val="continue"/>
          </w:tcPr>
          <w:p w14:paraId="09592650"/>
        </w:tc>
        <w:tc>
          <w:tcPr>
            <w:tcW w:w="2891" w:type="dxa"/>
          </w:tcPr>
          <w:p w14:paraId="65F64CE9">
            <w:pPr>
              <w:rPr>
                <w:rFonts w:hint="default" w:ascii="Calibri" w:hAnsi="Calibri" w:cs="Calibri"/>
                <w:sz w:val="21"/>
                <w:szCs w:val="21"/>
                <w:lang w:val="en-US" w:eastAsia="zh-CN"/>
              </w:rPr>
            </w:pPr>
            <w:r>
              <w:rPr>
                <w:rFonts w:hint="eastAsia" w:ascii="Calibri" w:hAnsi="Calibri" w:cs="Calibri"/>
                <w:sz w:val="21"/>
                <w:szCs w:val="21"/>
                <w:lang w:val="en-US" w:eastAsia="zh-CN"/>
              </w:rPr>
              <w:t>实验：利用传感器制作简单的自动控制装置</w:t>
            </w:r>
          </w:p>
        </w:tc>
        <w:tc>
          <w:tcPr>
            <w:tcW w:w="845" w:type="dxa"/>
            <w:vMerge w:val="continue"/>
          </w:tcPr>
          <w:p w14:paraId="147AA32E">
            <w:pPr>
              <w:rPr>
                <w:rFonts w:hint="eastAsia" w:ascii="Calibri" w:hAnsi="Calibri" w:cs="Calibri"/>
                <w:sz w:val="21"/>
                <w:szCs w:val="21"/>
                <w:lang w:val="en-US" w:eastAsia="zh-CN"/>
              </w:rPr>
            </w:pPr>
          </w:p>
        </w:tc>
        <w:tc>
          <w:tcPr>
            <w:tcW w:w="777" w:type="dxa"/>
            <w:vMerge w:val="continue"/>
          </w:tcPr>
          <w:p w14:paraId="3F9AD967">
            <w:pPr>
              <w:rPr>
                <w:rFonts w:hint="eastAsia" w:ascii="Calibri" w:hAnsi="Calibri" w:cs="Calibri"/>
                <w:sz w:val="21"/>
                <w:szCs w:val="21"/>
                <w:lang w:val="en-US" w:eastAsia="zh-CN"/>
              </w:rPr>
            </w:pPr>
          </w:p>
        </w:tc>
      </w:tr>
      <w:tr w14:paraId="7D202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4" w:type="dxa"/>
            <w:vMerge w:val="restart"/>
          </w:tcPr>
          <w:p w14:paraId="73FFB385">
            <w:pPr>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val="en-US" w:eastAsia="zh-CN"/>
              </w:rPr>
              <w:t>19</w:t>
            </w:r>
            <w:r>
              <w:rPr>
                <w:rFonts w:hint="eastAsia" w:ascii="宋体" w:hAnsi="宋体" w:eastAsia="宋体" w:cs="宋体"/>
                <w:sz w:val="21"/>
                <w:szCs w:val="21"/>
              </w:rPr>
              <w:t>周</w:t>
            </w:r>
          </w:p>
        </w:tc>
        <w:tc>
          <w:tcPr>
            <w:tcW w:w="1282" w:type="dxa"/>
            <w:vMerge w:val="restart"/>
          </w:tcPr>
          <w:p w14:paraId="68275418">
            <w:pPr>
              <w:rPr>
                <w:rFonts w:hint="default" w:eastAsiaTheme="minorEastAsia"/>
                <w:vertAlign w:val="baseline"/>
                <w:lang w:val="en-US" w:eastAsia="zh-CN"/>
              </w:rPr>
            </w:pPr>
            <w:r>
              <w:rPr>
                <w:rFonts w:hint="eastAsia"/>
                <w:vertAlign w:val="baseline"/>
                <w:lang w:val="en-US" w:eastAsia="zh-CN"/>
              </w:rPr>
              <w:t>1.6-1.12</w:t>
            </w:r>
          </w:p>
        </w:tc>
        <w:tc>
          <w:tcPr>
            <w:tcW w:w="1773" w:type="dxa"/>
            <w:vMerge w:val="continue"/>
          </w:tcPr>
          <w:p w14:paraId="54DDE7D3">
            <w:pPr>
              <w:rPr>
                <w:vertAlign w:val="baseline"/>
              </w:rPr>
            </w:pPr>
          </w:p>
        </w:tc>
        <w:tc>
          <w:tcPr>
            <w:tcW w:w="2891" w:type="dxa"/>
          </w:tcPr>
          <w:p w14:paraId="0A6D3939">
            <w:pPr>
              <w:rPr>
                <w:rFonts w:hint="default" w:eastAsiaTheme="minorEastAsia"/>
                <w:vertAlign w:val="baseline"/>
                <w:lang w:val="en-US" w:eastAsia="zh-CN"/>
              </w:rPr>
            </w:pPr>
            <w:r>
              <w:rPr>
                <w:rFonts w:hint="eastAsia"/>
                <w:vertAlign w:val="baseline"/>
                <w:lang w:val="en-US" w:eastAsia="zh-CN"/>
              </w:rPr>
              <w:t>1.光的折射、全反射</w:t>
            </w:r>
          </w:p>
        </w:tc>
        <w:tc>
          <w:tcPr>
            <w:tcW w:w="845" w:type="dxa"/>
            <w:vMerge w:val="restart"/>
          </w:tcPr>
          <w:p w14:paraId="4FE3B08D">
            <w:pPr>
              <w:rPr>
                <w:rFonts w:hint="default" w:eastAsiaTheme="minorEastAsia"/>
                <w:vertAlign w:val="baseline"/>
                <w:lang w:val="en-US" w:eastAsia="zh-CN"/>
              </w:rPr>
            </w:pPr>
            <w:r>
              <w:rPr>
                <w:rFonts w:hint="eastAsia"/>
                <w:vertAlign w:val="baseline"/>
                <w:lang w:val="en-US" w:eastAsia="zh-CN"/>
              </w:rPr>
              <w:t>6</w:t>
            </w:r>
          </w:p>
        </w:tc>
        <w:tc>
          <w:tcPr>
            <w:tcW w:w="777" w:type="dxa"/>
            <w:vMerge w:val="restart"/>
          </w:tcPr>
          <w:p w14:paraId="4DCA9A2B">
            <w:pPr>
              <w:rPr>
                <w:rFonts w:hint="default" w:eastAsiaTheme="minorEastAsia"/>
                <w:vertAlign w:val="baseline"/>
                <w:lang w:val="en-US" w:eastAsia="zh-CN"/>
              </w:rPr>
            </w:pPr>
            <w:r>
              <w:rPr>
                <w:rFonts w:hint="eastAsia"/>
                <w:vertAlign w:val="baseline"/>
                <w:lang w:val="en-US" w:eastAsia="zh-CN"/>
              </w:rPr>
              <w:t>98</w:t>
            </w:r>
          </w:p>
        </w:tc>
      </w:tr>
      <w:tr w14:paraId="5B465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4" w:type="dxa"/>
            <w:vMerge w:val="continue"/>
          </w:tcPr>
          <w:p w14:paraId="4433F79D"/>
        </w:tc>
        <w:tc>
          <w:tcPr>
            <w:tcW w:w="1282" w:type="dxa"/>
            <w:vMerge w:val="continue"/>
          </w:tcPr>
          <w:p w14:paraId="0DD78FED"/>
        </w:tc>
        <w:tc>
          <w:tcPr>
            <w:tcW w:w="1773" w:type="dxa"/>
            <w:vMerge w:val="continue"/>
          </w:tcPr>
          <w:p w14:paraId="409EDAFC"/>
        </w:tc>
        <w:tc>
          <w:tcPr>
            <w:tcW w:w="2891" w:type="dxa"/>
          </w:tcPr>
          <w:p w14:paraId="5C8A4D6D">
            <w:pPr>
              <w:rPr>
                <w:rFonts w:hint="default" w:eastAsiaTheme="minorEastAsia"/>
                <w:vertAlign w:val="baseline"/>
                <w:lang w:val="en-US" w:eastAsia="zh-CN"/>
              </w:rPr>
            </w:pPr>
            <w:r>
              <w:rPr>
                <w:rFonts w:hint="eastAsia"/>
                <w:vertAlign w:val="baseline"/>
                <w:lang w:val="en-US" w:eastAsia="zh-CN"/>
              </w:rPr>
              <w:t>2.光的干涉、衍射和偏振</w:t>
            </w:r>
          </w:p>
        </w:tc>
        <w:tc>
          <w:tcPr>
            <w:tcW w:w="845" w:type="dxa"/>
            <w:vMerge w:val="continue"/>
          </w:tcPr>
          <w:p w14:paraId="45584330">
            <w:pPr>
              <w:rPr>
                <w:vertAlign w:val="baseline"/>
              </w:rPr>
            </w:pPr>
          </w:p>
        </w:tc>
        <w:tc>
          <w:tcPr>
            <w:tcW w:w="777" w:type="dxa"/>
            <w:vMerge w:val="continue"/>
          </w:tcPr>
          <w:p w14:paraId="2FFF7E4E">
            <w:pPr>
              <w:rPr>
                <w:vertAlign w:val="baseline"/>
              </w:rPr>
            </w:pPr>
          </w:p>
        </w:tc>
      </w:tr>
      <w:tr w14:paraId="2BFBD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4" w:type="dxa"/>
            <w:vMerge w:val="continue"/>
          </w:tcPr>
          <w:p w14:paraId="5B902DF9">
            <w:pPr>
              <w:rPr>
                <w:vertAlign w:val="baseline"/>
              </w:rPr>
            </w:pPr>
          </w:p>
        </w:tc>
        <w:tc>
          <w:tcPr>
            <w:tcW w:w="1282" w:type="dxa"/>
            <w:vMerge w:val="continue"/>
          </w:tcPr>
          <w:p w14:paraId="01A8E666">
            <w:pPr>
              <w:rPr>
                <w:vertAlign w:val="baseline"/>
              </w:rPr>
            </w:pPr>
          </w:p>
        </w:tc>
        <w:tc>
          <w:tcPr>
            <w:tcW w:w="1773" w:type="dxa"/>
            <w:vMerge w:val="continue"/>
          </w:tcPr>
          <w:p w14:paraId="7F60BC65">
            <w:pPr>
              <w:rPr>
                <w:vertAlign w:val="baseline"/>
              </w:rPr>
            </w:pPr>
          </w:p>
        </w:tc>
        <w:tc>
          <w:tcPr>
            <w:tcW w:w="2891" w:type="dxa"/>
          </w:tcPr>
          <w:p w14:paraId="4E879C69">
            <w:pPr>
              <w:rPr>
                <w:rFonts w:hint="default" w:eastAsiaTheme="minorEastAsia"/>
                <w:vertAlign w:val="baseline"/>
                <w:lang w:val="en-US" w:eastAsia="zh-CN"/>
              </w:rPr>
            </w:pPr>
            <w:r>
              <w:rPr>
                <w:rFonts w:hint="eastAsia"/>
                <w:vertAlign w:val="baseline"/>
                <w:lang w:val="en-US" w:eastAsia="zh-CN"/>
              </w:rPr>
              <w:t>实验：测量玻璃的折射率</w:t>
            </w:r>
          </w:p>
        </w:tc>
        <w:tc>
          <w:tcPr>
            <w:tcW w:w="845" w:type="dxa"/>
            <w:vMerge w:val="continue"/>
          </w:tcPr>
          <w:p w14:paraId="179CB92B">
            <w:pPr>
              <w:rPr>
                <w:vertAlign w:val="baseline"/>
              </w:rPr>
            </w:pPr>
          </w:p>
        </w:tc>
        <w:tc>
          <w:tcPr>
            <w:tcW w:w="777" w:type="dxa"/>
            <w:vMerge w:val="continue"/>
          </w:tcPr>
          <w:p w14:paraId="530E8A80">
            <w:pPr>
              <w:rPr>
                <w:vertAlign w:val="baseline"/>
              </w:rPr>
            </w:pPr>
          </w:p>
        </w:tc>
      </w:tr>
      <w:tr w14:paraId="3D93B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54" w:type="dxa"/>
            <w:vMerge w:val="continue"/>
          </w:tcPr>
          <w:p w14:paraId="4CCC21B8">
            <w:pPr>
              <w:rPr>
                <w:vertAlign w:val="baseline"/>
              </w:rPr>
            </w:pPr>
          </w:p>
        </w:tc>
        <w:tc>
          <w:tcPr>
            <w:tcW w:w="1282" w:type="dxa"/>
            <w:vMerge w:val="continue"/>
          </w:tcPr>
          <w:p w14:paraId="08C0B80F">
            <w:pPr>
              <w:rPr>
                <w:vertAlign w:val="baseline"/>
              </w:rPr>
            </w:pPr>
          </w:p>
        </w:tc>
        <w:tc>
          <w:tcPr>
            <w:tcW w:w="1773" w:type="dxa"/>
            <w:vMerge w:val="continue"/>
          </w:tcPr>
          <w:p w14:paraId="1AF206AB">
            <w:pPr>
              <w:rPr>
                <w:vertAlign w:val="baseline"/>
              </w:rPr>
            </w:pPr>
          </w:p>
        </w:tc>
        <w:tc>
          <w:tcPr>
            <w:tcW w:w="2891" w:type="dxa"/>
          </w:tcPr>
          <w:p w14:paraId="3C95E181">
            <w:pPr>
              <w:rPr>
                <w:rFonts w:hint="default" w:eastAsiaTheme="minorEastAsia"/>
                <w:vertAlign w:val="baseline"/>
                <w:lang w:val="en-US" w:eastAsia="zh-CN"/>
              </w:rPr>
            </w:pPr>
            <w:r>
              <w:rPr>
                <w:rFonts w:hint="eastAsia"/>
                <w:vertAlign w:val="baseline"/>
                <w:lang w:val="en-US" w:eastAsia="zh-CN"/>
              </w:rPr>
              <w:t>实验：用双缝干涉测量光的波长</w:t>
            </w:r>
          </w:p>
        </w:tc>
        <w:tc>
          <w:tcPr>
            <w:tcW w:w="845" w:type="dxa"/>
            <w:vMerge w:val="continue"/>
          </w:tcPr>
          <w:p w14:paraId="281265E5">
            <w:pPr>
              <w:rPr>
                <w:vertAlign w:val="baseline"/>
              </w:rPr>
            </w:pPr>
          </w:p>
        </w:tc>
        <w:tc>
          <w:tcPr>
            <w:tcW w:w="777" w:type="dxa"/>
            <w:vMerge w:val="continue"/>
          </w:tcPr>
          <w:p w14:paraId="35939DC0">
            <w:pPr>
              <w:rPr>
                <w:vertAlign w:val="baseline"/>
              </w:rPr>
            </w:pPr>
          </w:p>
        </w:tc>
      </w:tr>
      <w:tr w14:paraId="14EC5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54" w:type="dxa"/>
            <w:vMerge w:val="continue"/>
          </w:tcPr>
          <w:p w14:paraId="338BEA90"/>
        </w:tc>
        <w:tc>
          <w:tcPr>
            <w:tcW w:w="1282" w:type="dxa"/>
            <w:vMerge w:val="continue"/>
          </w:tcPr>
          <w:p w14:paraId="476701EB"/>
        </w:tc>
        <w:tc>
          <w:tcPr>
            <w:tcW w:w="1773" w:type="dxa"/>
            <w:vMerge w:val="continue"/>
          </w:tcPr>
          <w:p w14:paraId="1E9A3B6B"/>
        </w:tc>
        <w:tc>
          <w:tcPr>
            <w:tcW w:w="2891" w:type="dxa"/>
          </w:tcPr>
          <w:p w14:paraId="1C9F9FA3">
            <w:pP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期末考试复习</w:t>
            </w:r>
          </w:p>
        </w:tc>
        <w:tc>
          <w:tcPr>
            <w:tcW w:w="845" w:type="dxa"/>
            <w:vMerge w:val="continue"/>
          </w:tcPr>
          <w:p w14:paraId="2DF2DDC8">
            <w:pPr>
              <w:rPr>
                <w:rFonts w:hint="default" w:ascii="Calibri" w:hAnsi="Calibri" w:cs="Calibri"/>
                <w:sz w:val="21"/>
                <w:szCs w:val="21"/>
              </w:rPr>
            </w:pPr>
          </w:p>
        </w:tc>
        <w:tc>
          <w:tcPr>
            <w:tcW w:w="777" w:type="dxa"/>
            <w:vMerge w:val="continue"/>
          </w:tcPr>
          <w:p w14:paraId="79BA7A27">
            <w:pPr>
              <w:rPr>
                <w:rFonts w:hint="default" w:ascii="Calibri" w:hAnsi="Calibri" w:cs="Calibri"/>
                <w:sz w:val="21"/>
                <w:szCs w:val="21"/>
              </w:rPr>
            </w:pPr>
          </w:p>
        </w:tc>
      </w:tr>
      <w:tr w14:paraId="092A8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63645030">
            <w:pPr>
              <w:rPr>
                <w:rFonts w:hint="default" w:ascii="宋体" w:hAnsi="宋体" w:eastAsia="宋体" w:cs="宋体"/>
                <w:sz w:val="21"/>
                <w:szCs w:val="21"/>
                <w:lang w:val="en-US" w:eastAsia="zh-CN"/>
              </w:rPr>
            </w:pPr>
            <w:r>
              <w:rPr>
                <w:rFonts w:hint="eastAsia" w:ascii="宋体" w:hAnsi="宋体" w:eastAsia="宋体" w:cs="宋体"/>
                <w:sz w:val="21"/>
                <w:szCs w:val="21"/>
              </w:rPr>
              <w:t>第</w:t>
            </w:r>
            <w:r>
              <w:rPr>
                <w:rFonts w:hint="eastAsia" w:ascii="宋体" w:hAnsi="宋体" w:eastAsia="宋体" w:cs="宋体"/>
                <w:sz w:val="21"/>
                <w:szCs w:val="21"/>
                <w:lang w:val="en-US" w:eastAsia="zh-CN"/>
              </w:rPr>
              <w:t>20</w:t>
            </w:r>
            <w:r>
              <w:rPr>
                <w:rFonts w:hint="eastAsia" w:ascii="宋体" w:hAnsi="宋体" w:eastAsia="宋体" w:cs="宋体"/>
                <w:sz w:val="21"/>
                <w:szCs w:val="21"/>
              </w:rPr>
              <w:t>周</w:t>
            </w:r>
          </w:p>
        </w:tc>
        <w:tc>
          <w:tcPr>
            <w:tcW w:w="1282" w:type="dxa"/>
          </w:tcPr>
          <w:p w14:paraId="1B2CB1F9">
            <w:pPr>
              <w:rPr>
                <w:rFonts w:hint="default" w:eastAsiaTheme="minorEastAsia"/>
                <w:vertAlign w:val="baseline"/>
                <w:lang w:val="en-US" w:eastAsia="zh-CN"/>
              </w:rPr>
            </w:pPr>
            <w:r>
              <w:rPr>
                <w:rFonts w:hint="eastAsia"/>
                <w:vertAlign w:val="baseline"/>
                <w:lang w:val="en-US" w:eastAsia="zh-CN"/>
              </w:rPr>
              <w:t>1.13-1.18</w:t>
            </w:r>
          </w:p>
        </w:tc>
        <w:tc>
          <w:tcPr>
            <w:tcW w:w="1773" w:type="dxa"/>
          </w:tcPr>
          <w:p w14:paraId="627FAB36">
            <w:pPr>
              <w:rPr>
                <w:vertAlign w:val="baseline"/>
              </w:rPr>
            </w:pPr>
          </w:p>
        </w:tc>
        <w:tc>
          <w:tcPr>
            <w:tcW w:w="2891" w:type="dxa"/>
          </w:tcPr>
          <w:p w14:paraId="71FFC652">
            <w:pPr>
              <w:rPr>
                <w:rFonts w:hint="default" w:eastAsiaTheme="minorEastAsia"/>
                <w:vertAlign w:val="baseline"/>
                <w:lang w:val="en-US" w:eastAsia="zh-CN"/>
              </w:rPr>
            </w:pPr>
            <w:r>
              <w:rPr>
                <w:rFonts w:hint="eastAsia"/>
                <w:vertAlign w:val="baseline"/>
                <w:lang w:val="en-US" w:eastAsia="zh-CN"/>
              </w:rPr>
              <w:t>期末考试</w:t>
            </w:r>
          </w:p>
        </w:tc>
        <w:tc>
          <w:tcPr>
            <w:tcW w:w="845" w:type="dxa"/>
          </w:tcPr>
          <w:p w14:paraId="38E4F82D">
            <w:pPr>
              <w:rPr>
                <w:rFonts w:hint="eastAsia" w:eastAsiaTheme="minorEastAsia"/>
                <w:vertAlign w:val="baseline"/>
                <w:lang w:val="en-US" w:eastAsia="zh-CN"/>
              </w:rPr>
            </w:pPr>
            <w:r>
              <w:rPr>
                <w:rFonts w:hint="eastAsia"/>
                <w:vertAlign w:val="baseline"/>
                <w:lang w:val="en-US" w:eastAsia="zh-CN"/>
              </w:rPr>
              <w:t>2</w:t>
            </w:r>
          </w:p>
        </w:tc>
        <w:tc>
          <w:tcPr>
            <w:tcW w:w="777" w:type="dxa"/>
          </w:tcPr>
          <w:p w14:paraId="5535FCC6">
            <w:pPr>
              <w:rPr>
                <w:rFonts w:hint="default" w:eastAsiaTheme="minorEastAsia"/>
                <w:vertAlign w:val="baseline"/>
                <w:lang w:val="en-US" w:eastAsia="zh-CN"/>
              </w:rPr>
            </w:pPr>
            <w:r>
              <w:rPr>
                <w:rFonts w:hint="eastAsia"/>
                <w:vertAlign w:val="baseline"/>
                <w:lang w:val="en-US" w:eastAsia="zh-CN"/>
              </w:rPr>
              <w:t>100</w:t>
            </w:r>
          </w:p>
        </w:tc>
      </w:tr>
    </w:tbl>
    <w:p w14:paraId="477E5424"/>
    <w:p w14:paraId="57BA92F5"/>
    <w:p w14:paraId="65F8C3C5"/>
    <w:p w14:paraId="6BEB708B"/>
    <w:p w14:paraId="119FC8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高</w:t>
      </w:r>
      <w:r>
        <w:rPr>
          <w:rFonts w:hint="eastAsia" w:ascii="宋体" w:hAnsi="宋体" w:eastAsia="宋体" w:cs="宋体"/>
          <w:b/>
          <w:bCs/>
          <w:i w:val="0"/>
          <w:iCs w:val="0"/>
          <w:caps w:val="0"/>
          <w:color w:val="000000"/>
          <w:spacing w:val="0"/>
          <w:sz w:val="24"/>
          <w:szCs w:val="24"/>
          <w:shd w:val="clear" w:fill="FFFFFF"/>
          <w:lang w:val="en-US" w:eastAsia="zh-CN"/>
        </w:rPr>
        <w:t>三</w:t>
      </w:r>
      <w:r>
        <w:rPr>
          <w:rFonts w:hint="eastAsia" w:ascii="宋体" w:hAnsi="宋体" w:eastAsia="宋体" w:cs="宋体"/>
          <w:b/>
          <w:bCs/>
          <w:i w:val="0"/>
          <w:iCs w:val="0"/>
          <w:caps w:val="0"/>
          <w:color w:val="000000"/>
          <w:spacing w:val="0"/>
          <w:sz w:val="24"/>
          <w:szCs w:val="24"/>
          <w:shd w:val="clear" w:fill="FFFFFF"/>
        </w:rPr>
        <w:t>物理备课组教师推磨听课安排表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79231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394B80E">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周次</w:t>
            </w:r>
          </w:p>
        </w:tc>
        <w:tc>
          <w:tcPr>
            <w:tcW w:w="2130" w:type="dxa"/>
          </w:tcPr>
          <w:p w14:paraId="67A6853C">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课题</w:t>
            </w:r>
          </w:p>
        </w:tc>
        <w:tc>
          <w:tcPr>
            <w:tcW w:w="2131" w:type="dxa"/>
          </w:tcPr>
          <w:p w14:paraId="115FE661">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授课人</w:t>
            </w:r>
          </w:p>
        </w:tc>
        <w:tc>
          <w:tcPr>
            <w:tcW w:w="2131" w:type="dxa"/>
          </w:tcPr>
          <w:p w14:paraId="2CFE58DF">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主评人</w:t>
            </w:r>
          </w:p>
        </w:tc>
      </w:tr>
      <w:tr w14:paraId="45954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BDC5D95">
            <w:pPr>
              <w:pStyle w:val="2"/>
              <w:keepNext w:val="0"/>
              <w:keepLines w:val="0"/>
              <w:widowControl/>
              <w:suppressLineNumbers w:val="0"/>
              <w:spacing w:before="0" w:beforeAutospacing="0" w:after="0" w:afterAutospacing="0"/>
              <w:ind w:right="0"/>
              <w:jc w:val="center"/>
              <w:rPr>
                <w:rFonts w:hint="default"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1</w:t>
            </w:r>
          </w:p>
        </w:tc>
        <w:tc>
          <w:tcPr>
            <w:tcW w:w="2130" w:type="dxa"/>
          </w:tcPr>
          <w:p w14:paraId="6AB6727E">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集体备课</w:t>
            </w:r>
          </w:p>
        </w:tc>
        <w:tc>
          <w:tcPr>
            <w:tcW w:w="2131" w:type="dxa"/>
          </w:tcPr>
          <w:p w14:paraId="4C2A0567">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p>
        </w:tc>
        <w:tc>
          <w:tcPr>
            <w:tcW w:w="2131" w:type="dxa"/>
          </w:tcPr>
          <w:p w14:paraId="6588E887">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p>
        </w:tc>
      </w:tr>
      <w:tr w14:paraId="31D5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F144D53">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3</w:t>
            </w:r>
          </w:p>
        </w:tc>
        <w:tc>
          <w:tcPr>
            <w:tcW w:w="2130" w:type="dxa"/>
          </w:tcPr>
          <w:p w14:paraId="11FF06A2">
            <w:pPr>
              <w:pStyle w:val="2"/>
              <w:keepNext w:val="0"/>
              <w:keepLines w:val="0"/>
              <w:widowControl/>
              <w:suppressLineNumbers w:val="0"/>
              <w:spacing w:before="0" w:beforeAutospacing="0" w:after="0" w:afterAutospacing="0"/>
              <w:ind w:right="0"/>
              <w:jc w:val="center"/>
              <w:rPr>
                <w:rFonts w:hint="default"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期初考试卷评奖</w:t>
            </w:r>
          </w:p>
        </w:tc>
        <w:tc>
          <w:tcPr>
            <w:tcW w:w="2131" w:type="dxa"/>
          </w:tcPr>
          <w:p w14:paraId="2BEE30DF">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郭洁</w:t>
            </w:r>
          </w:p>
        </w:tc>
        <w:tc>
          <w:tcPr>
            <w:tcW w:w="2131" w:type="dxa"/>
          </w:tcPr>
          <w:p w14:paraId="4219313A">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胡伟</w:t>
            </w:r>
          </w:p>
        </w:tc>
      </w:tr>
      <w:tr w14:paraId="55B4E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3090AD0C">
            <w:pPr>
              <w:pStyle w:val="2"/>
              <w:keepNext w:val="0"/>
              <w:keepLines w:val="0"/>
              <w:widowControl/>
              <w:suppressLineNumbers w:val="0"/>
              <w:spacing w:before="0" w:beforeAutospacing="0" w:after="0" w:afterAutospacing="0"/>
              <w:ind w:right="0"/>
              <w:jc w:val="center"/>
              <w:rPr>
                <w:rFonts w:hint="default"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5</w:t>
            </w:r>
          </w:p>
        </w:tc>
        <w:tc>
          <w:tcPr>
            <w:tcW w:w="2130" w:type="dxa"/>
          </w:tcPr>
          <w:p w14:paraId="6535C803">
            <w:pPr>
              <w:pStyle w:val="2"/>
              <w:keepNext w:val="0"/>
              <w:keepLines w:val="0"/>
              <w:widowControl/>
              <w:suppressLineNumbers w:val="0"/>
              <w:spacing w:before="0" w:beforeAutospacing="0" w:after="0" w:afterAutospacing="0"/>
              <w:ind w:right="0"/>
              <w:jc w:val="center"/>
              <w:rPr>
                <w:rFonts w:hint="default"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集体备课</w:t>
            </w:r>
          </w:p>
        </w:tc>
        <w:tc>
          <w:tcPr>
            <w:tcW w:w="2131" w:type="dxa"/>
          </w:tcPr>
          <w:p w14:paraId="524D8C81">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p>
        </w:tc>
        <w:tc>
          <w:tcPr>
            <w:tcW w:w="2131" w:type="dxa"/>
          </w:tcPr>
          <w:p w14:paraId="59A3CAAD">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p>
        </w:tc>
      </w:tr>
      <w:tr w14:paraId="7F7BD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2923862">
            <w:pPr>
              <w:pStyle w:val="2"/>
              <w:keepNext w:val="0"/>
              <w:keepLines w:val="0"/>
              <w:widowControl/>
              <w:suppressLineNumbers w:val="0"/>
              <w:spacing w:before="0" w:beforeAutospacing="0" w:after="0" w:afterAutospacing="0"/>
              <w:ind w:right="0"/>
              <w:jc w:val="center"/>
              <w:rPr>
                <w:rFonts w:hint="default"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8</w:t>
            </w:r>
          </w:p>
        </w:tc>
        <w:tc>
          <w:tcPr>
            <w:tcW w:w="2130" w:type="dxa"/>
          </w:tcPr>
          <w:p w14:paraId="3EC6CF2A">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待定</w:t>
            </w:r>
          </w:p>
        </w:tc>
        <w:tc>
          <w:tcPr>
            <w:tcW w:w="2131" w:type="dxa"/>
          </w:tcPr>
          <w:p w14:paraId="2B4411A1">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朱琪</w:t>
            </w:r>
          </w:p>
        </w:tc>
        <w:tc>
          <w:tcPr>
            <w:tcW w:w="2131" w:type="dxa"/>
          </w:tcPr>
          <w:p w14:paraId="7DF26460">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郭洁</w:t>
            </w:r>
          </w:p>
        </w:tc>
      </w:tr>
      <w:tr w14:paraId="371CA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3E64A45">
            <w:pPr>
              <w:pStyle w:val="2"/>
              <w:keepNext w:val="0"/>
              <w:keepLines w:val="0"/>
              <w:widowControl/>
              <w:suppressLineNumbers w:val="0"/>
              <w:spacing w:before="0" w:beforeAutospacing="0" w:after="0" w:afterAutospacing="0"/>
              <w:ind w:right="0"/>
              <w:jc w:val="center"/>
              <w:rPr>
                <w:rFonts w:hint="default"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9</w:t>
            </w:r>
          </w:p>
        </w:tc>
        <w:tc>
          <w:tcPr>
            <w:tcW w:w="2130" w:type="dxa"/>
          </w:tcPr>
          <w:p w14:paraId="07944344">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集体备课</w:t>
            </w:r>
          </w:p>
        </w:tc>
        <w:tc>
          <w:tcPr>
            <w:tcW w:w="2131" w:type="dxa"/>
          </w:tcPr>
          <w:p w14:paraId="22E749A5">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p>
        </w:tc>
        <w:tc>
          <w:tcPr>
            <w:tcW w:w="2131" w:type="dxa"/>
          </w:tcPr>
          <w:p w14:paraId="0F866553">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p>
        </w:tc>
      </w:tr>
      <w:tr w14:paraId="734E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6701385">
            <w:pPr>
              <w:pStyle w:val="2"/>
              <w:keepNext w:val="0"/>
              <w:keepLines w:val="0"/>
              <w:widowControl/>
              <w:suppressLineNumbers w:val="0"/>
              <w:spacing w:before="0" w:beforeAutospacing="0" w:after="0" w:afterAutospacing="0"/>
              <w:ind w:right="0"/>
              <w:jc w:val="center"/>
              <w:rPr>
                <w:rFonts w:hint="default"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11</w:t>
            </w:r>
          </w:p>
        </w:tc>
        <w:tc>
          <w:tcPr>
            <w:tcW w:w="2130" w:type="dxa"/>
          </w:tcPr>
          <w:p w14:paraId="65D2F7B6">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待定</w:t>
            </w:r>
          </w:p>
        </w:tc>
        <w:tc>
          <w:tcPr>
            <w:tcW w:w="2131" w:type="dxa"/>
          </w:tcPr>
          <w:p w14:paraId="73A660CB">
            <w:pPr>
              <w:pStyle w:val="2"/>
              <w:keepNext w:val="0"/>
              <w:keepLines w:val="0"/>
              <w:widowControl/>
              <w:suppressLineNumbers w:val="0"/>
              <w:spacing w:before="0" w:beforeAutospacing="0" w:after="0" w:afterAutospacing="0"/>
              <w:ind w:right="0"/>
              <w:jc w:val="center"/>
              <w:rPr>
                <w:rFonts w:hint="default"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叶贵梅</w:t>
            </w:r>
          </w:p>
        </w:tc>
        <w:tc>
          <w:tcPr>
            <w:tcW w:w="2131" w:type="dxa"/>
          </w:tcPr>
          <w:p w14:paraId="62157B4A">
            <w:pPr>
              <w:pStyle w:val="2"/>
              <w:keepNext w:val="0"/>
              <w:keepLines w:val="0"/>
              <w:widowControl/>
              <w:suppressLineNumbers w:val="0"/>
              <w:spacing w:before="0" w:beforeAutospacing="0" w:after="0" w:afterAutospacing="0"/>
              <w:ind w:right="0"/>
              <w:jc w:val="center"/>
              <w:rPr>
                <w:rFonts w:hint="default"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冯寿权</w:t>
            </w:r>
          </w:p>
        </w:tc>
      </w:tr>
      <w:tr w14:paraId="746C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EC019D7">
            <w:pPr>
              <w:pStyle w:val="2"/>
              <w:keepNext w:val="0"/>
              <w:keepLines w:val="0"/>
              <w:widowControl/>
              <w:suppressLineNumbers w:val="0"/>
              <w:spacing w:before="0" w:beforeAutospacing="0" w:after="0" w:afterAutospacing="0"/>
              <w:ind w:right="0"/>
              <w:jc w:val="center"/>
              <w:rPr>
                <w:rFonts w:hint="default"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13</w:t>
            </w:r>
          </w:p>
        </w:tc>
        <w:tc>
          <w:tcPr>
            <w:tcW w:w="2130" w:type="dxa"/>
          </w:tcPr>
          <w:p w14:paraId="737432D7">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集体备课</w:t>
            </w:r>
          </w:p>
        </w:tc>
        <w:tc>
          <w:tcPr>
            <w:tcW w:w="2131" w:type="dxa"/>
          </w:tcPr>
          <w:p w14:paraId="78730394">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p>
        </w:tc>
        <w:tc>
          <w:tcPr>
            <w:tcW w:w="2131" w:type="dxa"/>
          </w:tcPr>
          <w:p w14:paraId="7DE585BE">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p>
        </w:tc>
      </w:tr>
      <w:tr w14:paraId="3B05D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5B28783">
            <w:pPr>
              <w:pStyle w:val="2"/>
              <w:keepNext w:val="0"/>
              <w:keepLines w:val="0"/>
              <w:widowControl/>
              <w:suppressLineNumbers w:val="0"/>
              <w:spacing w:before="0" w:beforeAutospacing="0" w:after="0" w:afterAutospacing="0"/>
              <w:ind w:right="0"/>
              <w:jc w:val="center"/>
              <w:rPr>
                <w:rFonts w:hint="default"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15</w:t>
            </w:r>
          </w:p>
        </w:tc>
        <w:tc>
          <w:tcPr>
            <w:tcW w:w="2130" w:type="dxa"/>
          </w:tcPr>
          <w:p w14:paraId="7FDC8139">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待定</w:t>
            </w:r>
          </w:p>
        </w:tc>
        <w:tc>
          <w:tcPr>
            <w:tcW w:w="2131" w:type="dxa"/>
          </w:tcPr>
          <w:p w14:paraId="1B36078F">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冯寿权</w:t>
            </w:r>
          </w:p>
        </w:tc>
        <w:tc>
          <w:tcPr>
            <w:tcW w:w="2131" w:type="dxa"/>
          </w:tcPr>
          <w:p w14:paraId="0B8B7B86">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叶贵梅</w:t>
            </w:r>
          </w:p>
        </w:tc>
      </w:tr>
    </w:tbl>
    <w:p w14:paraId="112BB0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Helvetica" w:hAnsi="Helvetica" w:eastAsia="Helvetica" w:cs="Helvetica"/>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高三物理备课组</w:t>
      </w:r>
    </w:p>
    <w:p w14:paraId="3D7511DA">
      <w:bookmarkStart w:id="0" w:name="_GoBack"/>
      <w:bookmarkEnd w:id="0"/>
    </w:p>
    <w:p w14:paraId="589531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C26C7"/>
    <w:multiLevelType w:val="singleLevel"/>
    <w:tmpl w:val="9D1C26C7"/>
    <w:lvl w:ilvl="0" w:tentative="0">
      <w:start w:val="6"/>
      <w:numFmt w:val="decimal"/>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wZDE2NTI5NmI4Y2Q1YTJmOGZkY2RmMzMwNTM5YTkifQ=="/>
  </w:docVars>
  <w:rsids>
    <w:rsidRoot w:val="0C83341B"/>
    <w:rsid w:val="0C83341B"/>
    <w:rsid w:val="134104D7"/>
    <w:rsid w:val="37B612C5"/>
    <w:rsid w:val="6CA75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1398</Words>
  <Characters>1642</Characters>
  <Lines>0</Lines>
  <Paragraphs>0</Paragraphs>
  <TotalTime>189</TotalTime>
  <ScaleCrop>false</ScaleCrop>
  <LinksUpToDate>false</LinksUpToDate>
  <CharactersWithSpaces>1673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2022-09-05T02:11:00Z</dcterms:created>
  <dc:creator>郭姐</dc:creator>
  <cp:lastModifiedBy>小雪花</cp:lastModifiedBy>
  <dcterms:modified xsi:type="dcterms:W3CDTF">2024-09-03T10:59:08Z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B7DECA4E6EEE4E5AB46578AE59925B8F</vt:lpwstr>
  </property>
</Properties>
</file>