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bookmarkStart w:id="0" w:name="_GoBack"/>
      <w:bookmarkEnd w:id="0"/>
      <w:r>
        <w:rPr>
          <w:rFonts w:hint="eastAsia"/>
          <w:b/>
          <w:bCs/>
          <w:sz w:val="36"/>
          <w:szCs w:val="36"/>
          <w:lang w:val="en-US" w:eastAsia="zh-CN"/>
        </w:rPr>
        <w:t>教学评价</w:t>
      </w:r>
    </w:p>
    <w:p>
      <w:pPr>
        <w:numPr>
          <w:ilvl w:val="0"/>
          <w:numId w:val="0"/>
        </w:numPr>
        <w:spacing w:line="360" w:lineRule="auto"/>
        <w:ind w:firstLine="420"/>
        <w:rPr>
          <w:rFonts w:hint="eastAsia" w:ascii="宋体" w:hAnsi="宋体" w:eastAsia="宋体" w:cs="宋体"/>
          <w:sz w:val="24"/>
          <w:szCs w:val="24"/>
          <w:lang w:val="en-US" w:eastAsia="zh-CN"/>
        </w:rPr>
      </w:pPr>
    </w:p>
    <w:p>
      <w:pPr>
        <w:numPr>
          <w:ilvl w:val="0"/>
          <w:numId w:val="0"/>
        </w:num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景老师先对本次考试的试题范围、特点、结构进行了分析，其次对所教班级的考试情况进行了分析，然后对试卷中的高频错题进行了针对性的讲评。针对高频错题的讲评，王老师主要以试题重现——思维建模——变式训练为基本环节，引导学生巩固易错知识点，并通过模型建构的方式进行知识的结构化，最后以变式训练来进一步强化学生对模型的应用。本节课引导学生构建的元素及其化合物转化关系模型、离子检验模型以及陌生情境的氧化还原方程式书写模型学生均掌握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YyNDZjODJiYmJmNmM0MjJmYTU1MmJjMjAxZGYifQ=="/>
  </w:docVars>
  <w:rsids>
    <w:rsidRoot w:val="3EEE5805"/>
    <w:rsid w:val="3EEE5805"/>
    <w:rsid w:val="48184333"/>
    <w:rsid w:val="53E0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2024-04-26T07:01:00Z</dcterms:created>
  <dc:creator>馥郁芬芳</dc:creator>
  <cp:lastModifiedBy>馥郁芬芳</cp:lastModifiedBy>
  <dcterms:modified xsi:type="dcterms:W3CDTF">2024-04-26T07:05:39Z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701F91962A0340E6A9F9A5398AFD06AD_13</vt:lpwstr>
  </property>
</Properties>
</file>