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40"/>
        </w:tabs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  <w:lang w:val="en-US" w:eastAsia="zh-CN"/>
        </w:rPr>
        <w:t>集体备课资料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复习目标</w:t>
            </w:r>
          </w:p>
        </w:tc>
        <w:tc>
          <w:tcPr>
            <w:tcW w:w="4160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1. 了解氧化还原反应的概念，理解氧化还原反应的本质。</w:t>
            </w:r>
          </w:p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2. 会用</w:t>
            </w:r>
            <w:r>
              <w:rPr>
                <w:rFonts w:hAnsi="宋体" w:eastAsia="黑体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单、双线桥</w:t>
            </w:r>
            <w:r>
              <w:rPr>
                <w:rFonts w:hAnsi="宋体" w:eastAsia="黑体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分析电子转移的方向和数目。</w:t>
            </w:r>
          </w:p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3. 掌握氧化性、还原性强弱的比较方法及价态规律的应用。</w:t>
            </w:r>
          </w:p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4. 能利用</w:t>
            </w:r>
            <w:r>
              <w:rPr>
                <w:rFonts w:hAnsi="宋体" w:eastAsia="黑体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得失电子守恒</w:t>
            </w:r>
            <w:r>
              <w:rPr>
                <w:rFonts w:hAnsi="宋体" w:eastAsia="黑体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规律进行氧化还原反应的简单计算。</w:t>
            </w:r>
          </w:p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5. 掌握氧化还原反应方程式的配平方法及技巧。</w:t>
            </w:r>
          </w:p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6. 了解氧化还原反应在生产、生活中的应用。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熟记网络</w:t>
            </w:r>
          </w:p>
        </w:tc>
        <w:tc>
          <w:tcPr>
            <w:tcW w:w="4160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instrText xml:space="preserve">INCLUDEPICTURE"bb-63.TIF"</w:instrText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drawing>
                <wp:inline distT="0" distB="0" distL="114300" distR="114300">
                  <wp:extent cx="4355465" cy="1513205"/>
                  <wp:effectExtent l="0" t="0" r="698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5465" cy="151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氧化还原反应的配平步骤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1. 标变价：标明反应前后变价元素的化合价。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2. 列得失：列出化合价的变化值。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3. 求总数：通过求最小公倍数使化合价升降总数相等。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4. 配系数：确定氧化剂、还原剂、氧化产物、还原产物的化学计量数，观察法配平其他物质的化学计量数。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5. 查守恒：检查原子、电荷、得失电子是否守恒。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24"/>
          <w:szCs w:val="24"/>
        </w:rPr>
        <w:t>新情境下氧化还原反应方程式的书写步骤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1. 确定氧化剂、还原剂、氧化产物、还原产物。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2. 用化合价升降配平。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3. 配平其他原子。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t>4. 若是离子方程式，要遵循电荷守恒。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MThlZjNkODhjYTY1ZTZiYzllYjJkYjAwOWZlZjkifQ=="/>
  </w:docVars>
  <w:rsids>
    <w:rsidRoot w:val="00000000"/>
    <w:rsid w:val="314C2FF5"/>
    <w:rsid w:val="5BB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bb-6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1198</Words>
  <Characters>1200</Characters>
  <Lines>0</Lines>
  <Paragraphs>0</Paragraphs>
  <TotalTime>0</TotalTime>
  <ScaleCrop>false</ScaleCrop>
  <LinksUpToDate>false</LinksUpToDate>
  <CharactersWithSpaces>1217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2024-04-01T11:01:00Z</dcterms:created>
  <dc:creator>ppc</dc:creator>
  <cp:lastModifiedBy>沿途的远处</cp:lastModifiedBy>
  <dcterms:modified xsi:type="dcterms:W3CDTF">2024-05-23T06:41:40Z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51E147F898F24FE09E269CB70A20DE84_12</vt:lpwstr>
  </property>
</Properties>
</file>