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南京市秦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淮中学202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学年度第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政治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教研组工作总结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一、主要工作。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在本学期中，我们继续以“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依标教学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任务驱动，问题导学，交流提升”为课堂教学的指导思想，以“课堂教学中的问题设计的有效性”为主题进行“新授课”、“复习课”、“讲评课”等各种课型的课堂教学研究，推动了教师在备课、导学案的编写、组织了教学、课后评价等方面的活动，提升了教师在教学设计的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二、取得成效。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1、教研组活动做到了常态化。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组在每个月进行了一次教研活动。活动的形式是“座谈会”、“研讨课”、组内的“讲座”（包括教学经验介绍类的讲座，或是集体学习类的“二次培训”讲座，或是校本研究的讲座，或是问题探讨类的讲座）。活动前都进行了精心准备，按照要求，活动中有记录，活动过程中拍照并上传到校园网上，活动内容充实、形式多样，富有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、加强了备课组的集体备课工作。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备课组在日常的教学活动中，坚持以“推磨听课”这种形式进行对各种课型中的课堂教学效果进行研究，日常性地对导学案和教学方法进行讲座式的研讨。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从课堂教学的设计中，我们能看到备课者的教学安排的思路，这也是引导学生开展学习的重要线索。我们从施教者的课件中看到其教学组织的思路， “问题”的及时呈现就是保障，问题串的连续性和方向性是否明确、简洁，直接影响着课堂教学的效率。因而，我们特别注意到了“问题”在课件中的及时、科学、简洁明了地呈现。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、积极参加校内外的比赛、展示活动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）组织了高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备课组全体老师积极备考江宁区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高三解题能力竞赛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考试。老师们认真准备，下载打印相关资料，自主学习，交流学习心得，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杨也和孟久琳老师荣获一等奖，王金平、李柱明和翁员媛老师获二等奖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）组织了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工作不满三年的5位老师进行了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青年教师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汇报课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3）11月29日王萌老师和南外方山的张佩佩老师进行了同题异构，开设了《保障权利  于法有据》一课。孟久琳老师到宇通中学开设了一节高三复习课。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（4）本学期老师在教科研方面也取得了一些成果。在新课标设计中翁媛媛和朱雅老师获一等奖，几位老师获二等奖。在论文评比中汪韦燕老师获区一等奖。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三、存在的问题。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回顾一学期以来的实践情况，从中也能看到一些问题。主要有以下几方面。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 教师的工作内容以课堂教学为主要形式，而课堂教学的主要形式又是师生交流，交流的前提是交流的参与者都有思想和交流的愿望。而这，恰恰是我校大多数学生所欠缺的基本素质，使得课堂交流无法广泛展开，再好的课堂教学设计都无法落实。青年教师的课堂教学能力也正因此而不能得到煅练和提高，久久而久之，就会形成不良的课堂教学习惯，无法在适应学习能力较强的的学生群体，也不能贯彻新的课程教学理念，这使得教师在外出交流时不能有优秀的表现和成绩。正所谓“教学相长”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四、展望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希望学校给年经教师搭建平台，促进年轻教师的成长。我组教师仍会一如继往地努力下去，站在很高的视角外、有更广的视野，努力克服日常教学中的困难，以更高的目标要求自己，不能提升自己的业务能力。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24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秦淮中学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教研组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315" w:firstLine="0"/>
        <w:jc w:val="right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2022.6.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FkMTBjMDAzMWI0YTA2YTA3ZTEwZDQ1MWUzMWQifQ=="/>
  </w:docVars>
  <w:rsids>
    <w:rsidRoot w:val="00000000"/>
    <w:rsid w:val="13C734D9"/>
    <w:rsid w:val="1B326960"/>
    <w:rsid w:val="48972C92"/>
    <w:rsid w:val="5361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1472</Words>
  <Characters>1493</Characters>
  <Lines>0</Lines>
  <Paragraphs>0</Paragraphs>
  <TotalTime>17</TotalTime>
  <ScaleCrop>false</ScaleCrop>
  <LinksUpToDate>false</LinksUpToDate>
  <CharactersWithSpaces>1514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2022-06-22T04:10:00Z</dcterms:created>
  <dc:creator>LiuYan</dc:creator>
  <cp:lastModifiedBy>风一样的女子sky</cp:lastModifiedBy>
  <dcterms:modified xsi:type="dcterms:W3CDTF">2024-01-17T01:11:38Z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42D6934EFD0747FFA3263B096AEB2F6B</vt:lpwstr>
  </property>
</Properties>
</file>