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教学反思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本分析：总体来看，这首诗的前后两节有着层次与境界上的相承与递进。前者主动，后者主静。前者充溢着生命的搏击与律动，启示着自然间一种积极向上的活力。而当“雨歇了”，世界便进入一种行动后的安宁、强力后的静谧。那曾因为争取而匆匆走过的躯体，也终于有了夜空下神圣而静穆的“挺拔”闪现。这是只有在“行到水穷处”之后，才会拥有的“坐看云起时”的坦然境地。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教学反思：1、教学时间把握不够效率 2、对学生的预设不够到位。</w:t>
      </w:r>
      <w:bookmarkStart w:id="0" w:name="_GoBack"/>
      <w:bookmarkEnd w:id="0"/>
    </w:p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1Y2M1YzI0ZDMyNWU1NTJkODc5ZDkzYjY0YjZlYzUifQ=="/>
  </w:docVars>
  <w:rsids>
    <w:rsidRoot w:val="1DCC4DD2"/>
    <w:rsid w:val="1DCC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2023-11-23T08:22:00Z</dcterms:created>
  <dc:creator>匪夷所思</dc:creator>
  <cp:lastModifiedBy>匪夷所思</cp:lastModifiedBy>
  <dcterms:modified xsi:type="dcterms:W3CDTF">2023-11-23T08:24:30Z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42A57FE6CA40406F838FF38F26558FDB_11</vt:lpwstr>
  </property>
</Properties>
</file>