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val="en-US" w:eastAsia="zh-CN"/>
        </w:rPr>
      </w:pPr>
      <w:r>
        <w:rPr>
          <w:rFonts w:hint="eastAsia"/>
          <w:sz w:val="28"/>
          <w:szCs w:val="28"/>
          <w:lang w:eastAsia="zh-CN"/>
        </w:rPr>
        <w:t>秦淮中学</w:t>
      </w:r>
      <w:r>
        <w:rPr>
          <w:rFonts w:hint="eastAsia"/>
          <w:sz w:val="28"/>
          <w:szCs w:val="28"/>
          <w:lang w:val="en-US" w:eastAsia="zh-CN"/>
        </w:rPr>
        <w:t>20</w:t>
      </w:r>
      <w:r>
        <w:rPr>
          <w:rFonts w:hint="eastAsia"/>
          <w:sz w:val="28"/>
          <w:szCs w:val="28"/>
          <w:u w:val="single"/>
          <w:lang w:val="en-US" w:eastAsia="zh-CN"/>
        </w:rPr>
        <w:t>23</w:t>
      </w:r>
      <w:r>
        <w:rPr>
          <w:rFonts w:hint="eastAsia"/>
          <w:sz w:val="28"/>
          <w:szCs w:val="28"/>
          <w:lang w:val="en-US" w:eastAsia="zh-CN"/>
        </w:rPr>
        <w:t>~20</w:t>
      </w:r>
      <w:r>
        <w:rPr>
          <w:rFonts w:hint="eastAsia"/>
          <w:sz w:val="28"/>
          <w:szCs w:val="28"/>
          <w:u w:val="single"/>
          <w:lang w:val="en-US" w:eastAsia="zh-CN"/>
        </w:rPr>
        <w:t>24</w:t>
      </w:r>
      <w:r>
        <w:rPr>
          <w:rFonts w:hint="eastAsia"/>
          <w:sz w:val="28"/>
          <w:szCs w:val="28"/>
          <w:lang w:val="en-US" w:eastAsia="zh-CN"/>
        </w:rPr>
        <w:t>学年度第</w:t>
      </w:r>
      <w:r>
        <w:rPr>
          <w:rFonts w:hint="eastAsia"/>
          <w:sz w:val="28"/>
          <w:szCs w:val="28"/>
          <w:u w:val="single"/>
          <w:lang w:val="en-US" w:eastAsia="zh-CN"/>
        </w:rPr>
        <w:t xml:space="preserve"> 一 </w:t>
      </w:r>
      <w:r>
        <w:rPr>
          <w:rFonts w:hint="eastAsia"/>
          <w:sz w:val="28"/>
          <w:szCs w:val="28"/>
          <w:lang w:val="en-US" w:eastAsia="zh-CN"/>
        </w:rPr>
        <w:t>学期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val="en-US" w:eastAsia="zh-CN"/>
        </w:rPr>
      </w:pPr>
      <w:r>
        <w:rPr>
          <w:rFonts w:hint="eastAsia"/>
          <w:sz w:val="28"/>
          <w:szCs w:val="28"/>
          <w:lang w:val="en-US" w:eastAsia="zh-CN"/>
        </w:rPr>
        <w:t>高</w:t>
      </w:r>
      <w:r>
        <w:rPr>
          <w:rFonts w:hint="eastAsia"/>
          <w:sz w:val="28"/>
          <w:szCs w:val="28"/>
          <w:u w:val="single"/>
          <w:lang w:val="en-US" w:eastAsia="zh-CN"/>
        </w:rPr>
        <w:t xml:space="preserve"> 二  </w:t>
      </w:r>
      <w:r>
        <w:rPr>
          <w:rFonts w:hint="eastAsia"/>
          <w:sz w:val="28"/>
          <w:szCs w:val="28"/>
          <w:u w:val="none"/>
          <w:lang w:val="en-US" w:eastAsia="zh-CN"/>
        </w:rPr>
        <w:t>年级</w:t>
      </w:r>
      <w:r>
        <w:rPr>
          <w:rFonts w:hint="eastAsia"/>
          <w:sz w:val="28"/>
          <w:szCs w:val="28"/>
          <w:u w:val="single"/>
          <w:lang w:val="en-US" w:eastAsia="zh-CN"/>
        </w:rPr>
        <w:t xml:space="preserve">  政治 </w:t>
      </w:r>
      <w:r>
        <w:rPr>
          <w:rFonts w:hint="eastAsia"/>
          <w:sz w:val="28"/>
          <w:szCs w:val="28"/>
          <w:lang w:val="en-US" w:eastAsia="zh-CN"/>
        </w:rPr>
        <w:t>学科</w:t>
      </w:r>
      <w:r>
        <w:rPr>
          <w:rFonts w:hint="eastAsia"/>
          <w:sz w:val="28"/>
          <w:szCs w:val="28"/>
          <w:u w:val="single"/>
          <w:lang w:val="en-US" w:eastAsia="zh-CN"/>
        </w:rPr>
        <w:t xml:space="preserve"> 期中 </w:t>
      </w:r>
      <w:r>
        <w:rPr>
          <w:rFonts w:hint="eastAsia"/>
          <w:sz w:val="28"/>
          <w:szCs w:val="28"/>
          <w:lang w:val="en-US" w:eastAsia="zh-CN"/>
        </w:rPr>
        <w:t>考试质量分析报告</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numPr>
          <w:ilvl w:val="0"/>
          <w:numId w:val="1"/>
        </w:numPr>
        <w:rPr>
          <w:rFonts w:hint="eastAsia"/>
          <w:lang w:eastAsia="zh-CN"/>
        </w:rPr>
      </w:pPr>
      <w:r>
        <w:rPr>
          <w:rFonts w:hint="eastAsia"/>
          <w:lang w:eastAsia="zh-CN"/>
        </w:rPr>
        <w:t>总评情况</w:t>
      </w:r>
    </w:p>
    <w:p>
      <w:pPr>
        <w:numPr>
          <w:numId w:val="0"/>
        </w:numPr>
        <w:rPr>
          <w:rFonts w:hint="default"/>
          <w:lang w:val="en-US" w:eastAsia="zh-CN"/>
        </w:rPr>
      </w:pPr>
      <w:r>
        <w:rPr>
          <w:rFonts w:hint="eastAsia"/>
          <w:lang w:val="en-US" w:eastAsia="zh-CN"/>
        </w:rPr>
        <w:t xml:space="preserve">   本次期中南京市均分70.43，我校均分67.52，文科班均分高于理科班均分，选择题1，7，11，14的平均分低于2分，材料题17，18得分率较低。</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numPr>
          <w:ilvl w:val="0"/>
          <w:numId w:val="0"/>
        </w:numPr>
        <w:rPr>
          <w:rFonts w:hint="eastAsia"/>
          <w:lang w:eastAsia="zh-CN"/>
        </w:rPr>
      </w:pPr>
      <w:r>
        <w:rPr>
          <w:rFonts w:hint="eastAsia"/>
          <w:lang w:eastAsia="zh-CN"/>
        </w:rPr>
        <w:t>二、各题得分统计</w:t>
      </w:r>
    </w:p>
    <w:tbl>
      <w:tblPr>
        <w:tblStyle w:val="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60"/>
        <w:gridCol w:w="560"/>
        <w:gridCol w:w="560"/>
        <w:gridCol w:w="560"/>
        <w:gridCol w:w="560"/>
        <w:gridCol w:w="560"/>
        <w:gridCol w:w="560"/>
        <w:gridCol w:w="560"/>
        <w:gridCol w:w="560"/>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eastAsia="zh-CN"/>
              </w:rPr>
            </w:pPr>
            <w:r>
              <w:rPr>
                <w:rFonts w:hint="eastAsia"/>
                <w:sz w:val="18"/>
                <w:szCs w:val="18"/>
                <w:vertAlign w:val="baseline"/>
                <w:lang w:eastAsia="zh-CN"/>
              </w:rPr>
              <w:t>题号</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10</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eastAsia="zh-CN"/>
              </w:rPr>
              <w:t>卷面分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2.62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2.41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2.48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2.15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2.74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2.67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1.63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2.25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eastAsia="zh-CN"/>
              </w:rPr>
              <w:t>同类均分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1.95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2.08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2.36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1.61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2.71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2.54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1.51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2.89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1.67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tbl>
      <w:tblPr>
        <w:tblStyle w:val="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eastAsia="zh-CN"/>
              </w:rPr>
            </w:pPr>
            <w:r>
              <w:rPr>
                <w:rFonts w:hint="eastAsia"/>
                <w:sz w:val="18"/>
                <w:szCs w:val="18"/>
                <w:vertAlign w:val="baseline"/>
                <w:lang w:eastAsia="zh-CN"/>
              </w:rPr>
              <w:t>题号</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18（1）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18（2）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卷面分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5.69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3.15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1.16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1.18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eastAsia="zh-CN"/>
              </w:rPr>
              <w:t>同类均分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5.57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2.92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0.98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1.11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2.89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8"/>
                <w:szCs w:val="18"/>
                <w:vertAlign w:val="baseline"/>
                <w:lang w:val="en-US" w:eastAsia="zh-CN"/>
              </w:rPr>
            </w:pPr>
            <w:r>
              <w:rPr>
                <w:rFonts w:hint="eastAsia"/>
                <w:sz w:val="18"/>
                <w:szCs w:val="18"/>
                <w:vertAlign w:val="baseline"/>
                <w:lang w:val="en-US" w:eastAsia="zh-CN"/>
              </w:rPr>
              <w:t>2.31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numPr>
          <w:ilvl w:val="0"/>
          <w:numId w:val="2"/>
        </w:numPr>
        <w:rPr>
          <w:rFonts w:hint="eastAsia"/>
          <w:lang w:eastAsia="zh-CN"/>
        </w:rPr>
      </w:pPr>
      <w:r>
        <w:rPr>
          <w:rFonts w:hint="eastAsia"/>
          <w:lang w:eastAsia="zh-CN"/>
        </w:rPr>
        <w:t>典型错误及原因分析</w:t>
      </w:r>
    </w:p>
    <w:p>
      <w:pPr>
        <w:numPr>
          <w:ilvl w:val="0"/>
          <w:numId w:val="0"/>
        </w:numPr>
        <w:rPr>
          <w:rFonts w:hint="default"/>
          <w:vertAlign w:val="baseline"/>
          <w:lang w:val="en-US" w:eastAsia="zh-CN"/>
        </w:rPr>
      </w:pPr>
      <w:r>
        <w:rPr>
          <w:rFonts w:hint="eastAsia"/>
          <w:vertAlign w:val="baseline"/>
          <w:lang w:val="en-US" w:eastAsia="zh-CN"/>
        </w:rPr>
        <w:t>1、关于必修三依法治国的知识点没有熟练掌握，例如选择题第一题在平时练习中涉及到但是学生关于马克思主义法治思想的内容不能完全掌握，换种形式就会写错。</w:t>
      </w:r>
    </w:p>
    <w:p>
      <w:pPr>
        <w:numPr>
          <w:ilvl w:val="0"/>
          <w:numId w:val="0"/>
        </w:numPr>
        <w:rPr>
          <w:rFonts w:hint="eastAsia"/>
          <w:vertAlign w:val="baseline"/>
          <w:lang w:val="en-US" w:eastAsia="zh-CN"/>
        </w:rPr>
      </w:pPr>
      <w:r>
        <w:rPr>
          <w:rFonts w:hint="eastAsia"/>
          <w:vertAlign w:val="baseline"/>
          <w:lang w:val="en-US" w:eastAsia="zh-CN"/>
        </w:rPr>
        <w:t>2、无法有效解读材料和设问，角度单一零散</w:t>
      </w:r>
    </w:p>
    <w:p>
      <w:pPr>
        <w:numPr>
          <w:ilvl w:val="0"/>
          <w:numId w:val="0"/>
        </w:numPr>
        <w:rPr>
          <w:rFonts w:hint="eastAsia"/>
          <w:vertAlign w:val="baseline"/>
          <w:lang w:val="en-US" w:eastAsia="zh-CN"/>
        </w:rPr>
      </w:pPr>
      <w:r>
        <w:rPr>
          <w:rFonts w:hint="eastAsia"/>
          <w:vertAlign w:val="baseline"/>
          <w:lang w:val="en-US" w:eastAsia="zh-CN"/>
        </w:rPr>
        <w:t>3、范围错误，哲学部分辩证法和方法论分不清</w:t>
      </w:r>
    </w:p>
    <w:p>
      <w:pPr>
        <w:numPr>
          <w:ilvl w:val="0"/>
          <w:numId w:val="0"/>
        </w:numPr>
        <w:rPr>
          <w:rFonts w:hint="eastAsia"/>
          <w:vertAlign w:val="baseline"/>
          <w:lang w:val="en-US" w:eastAsia="zh-CN"/>
        </w:rPr>
      </w:pPr>
      <w:r>
        <w:rPr>
          <w:rFonts w:hint="eastAsia"/>
          <w:vertAlign w:val="baseline"/>
          <w:lang w:val="en-US" w:eastAsia="zh-CN"/>
        </w:rPr>
        <w:t>4、用词表述错误，不严谨。</w:t>
      </w:r>
    </w:p>
    <w:p>
      <w:pPr>
        <w:numPr>
          <w:ilvl w:val="0"/>
          <w:numId w:val="0"/>
        </w:numPr>
        <w:rPr>
          <w:rFonts w:hint="eastAsia"/>
          <w:vertAlign w:val="baseline"/>
          <w:lang w:val="en-US" w:eastAsia="zh-CN"/>
        </w:rPr>
      </w:pPr>
      <w:r>
        <w:rPr>
          <w:rFonts w:hint="eastAsia"/>
          <w:vertAlign w:val="baseline"/>
          <w:lang w:val="en-US" w:eastAsia="zh-CN"/>
        </w:rPr>
        <w:t>原因分析：</w:t>
      </w:r>
    </w:p>
    <w:p>
      <w:pPr>
        <w:numPr>
          <w:ilvl w:val="0"/>
          <w:numId w:val="0"/>
        </w:numPr>
        <w:rPr>
          <w:rFonts w:hint="eastAsia"/>
          <w:vertAlign w:val="baseline"/>
          <w:lang w:eastAsia="zh-CN"/>
        </w:rPr>
      </w:pPr>
      <w:r>
        <w:rPr>
          <w:rFonts w:hint="eastAsia"/>
          <w:vertAlign w:val="baseline"/>
          <w:lang w:val="en-US" w:eastAsia="zh-CN"/>
        </w:rPr>
        <w:t>1、在有限的时间内，解题能力极为有限，思维僵化，知识不能综合运用</w:t>
      </w:r>
    </w:p>
    <w:p>
      <w:pPr>
        <w:numPr>
          <w:ilvl w:val="0"/>
          <w:numId w:val="0"/>
        </w:numPr>
        <w:rPr>
          <w:rFonts w:hint="eastAsia"/>
          <w:vertAlign w:val="baseline"/>
          <w:lang w:eastAsia="zh-CN"/>
        </w:rPr>
      </w:pPr>
      <w:r>
        <w:rPr>
          <w:rFonts w:hint="eastAsia"/>
          <w:vertAlign w:val="baseline"/>
          <w:lang w:val="en-US" w:eastAsia="zh-CN"/>
        </w:rPr>
        <w:t>2、</w:t>
      </w:r>
      <w:r>
        <w:rPr>
          <w:rFonts w:hint="eastAsia"/>
          <w:vertAlign w:val="baseline"/>
          <w:lang w:eastAsia="zh-CN"/>
        </w:rPr>
        <w:t>学生</w:t>
      </w:r>
      <w:r>
        <w:rPr>
          <w:rFonts w:hint="eastAsia"/>
          <w:vertAlign w:val="baseline"/>
          <w:lang w:val="en-US" w:eastAsia="zh-CN"/>
        </w:rPr>
        <w:t>平时</w:t>
      </w:r>
      <w:r>
        <w:rPr>
          <w:rFonts w:hint="eastAsia"/>
          <w:vertAlign w:val="baseline"/>
          <w:lang w:eastAsia="zh-CN"/>
        </w:rPr>
        <w:t>死记硬背的学习方法</w:t>
      </w:r>
      <w:r>
        <w:rPr>
          <w:rFonts w:hint="eastAsia"/>
          <w:vertAlign w:val="baseline"/>
          <w:lang w:val="en-US" w:eastAsia="zh-CN"/>
        </w:rPr>
        <w:t>无法</w:t>
      </w:r>
      <w:r>
        <w:rPr>
          <w:rFonts w:hint="eastAsia"/>
          <w:vertAlign w:val="baseline"/>
          <w:lang w:eastAsia="zh-CN"/>
        </w:rPr>
        <w:t xml:space="preserve">知情达意，活学活用。 </w:t>
      </w:r>
    </w:p>
    <w:p>
      <w:pPr>
        <w:numPr>
          <w:ilvl w:val="0"/>
          <w:numId w:val="0"/>
        </w:numPr>
        <w:rPr>
          <w:rFonts w:hint="eastAsia"/>
          <w:vertAlign w:val="baseline"/>
          <w:lang w:eastAsia="zh-CN"/>
        </w:rPr>
      </w:pPr>
    </w:p>
    <w:p>
      <w:pPr>
        <w:numPr>
          <w:ilvl w:val="0"/>
          <w:numId w:val="0"/>
        </w:numPr>
        <w:rPr>
          <w:rFonts w:hint="eastAsia"/>
          <w:lang w:eastAsia="zh-CN"/>
        </w:rPr>
      </w:pPr>
      <w:r>
        <w:rPr>
          <w:rFonts w:hint="eastAsia"/>
          <w:lang w:eastAsia="zh-CN"/>
        </w:rPr>
        <w:t>四、试卷讲评（简案、讲评题目及变式训练）</w:t>
      </w:r>
    </w:p>
    <w:p>
      <w:pPr>
        <w:numPr>
          <w:ilvl w:val="0"/>
          <w:numId w:val="0"/>
        </w:numPr>
        <w:rPr>
          <w:rFonts w:hint="eastAsia"/>
          <w:vertAlign w:val="baseline"/>
          <w:lang w:val="en-US" w:eastAsia="zh-CN"/>
        </w:rPr>
      </w:pPr>
      <w:r>
        <w:rPr>
          <w:rFonts w:hint="eastAsia"/>
          <w:vertAlign w:val="baseline"/>
          <w:lang w:val="en-US" w:eastAsia="zh-CN"/>
        </w:rPr>
        <w:t>1.依法治国</w:t>
      </w:r>
    </w:p>
    <w:p>
      <w:pPr>
        <w:numPr>
          <w:ilvl w:val="0"/>
          <w:numId w:val="0"/>
        </w:numPr>
        <w:rPr>
          <w:rFonts w:hint="eastAsia"/>
          <w:vertAlign w:val="baseline"/>
          <w:lang w:val="en-US" w:eastAsia="zh-CN"/>
        </w:rPr>
      </w:pPr>
      <w:r>
        <w:rPr>
          <w:rFonts w:hint="eastAsia"/>
          <w:vertAlign w:val="baseline"/>
          <w:lang w:val="en-US" w:eastAsia="zh-CN"/>
        </w:rPr>
        <w:t>2.人民政协</w:t>
      </w:r>
    </w:p>
    <w:p>
      <w:pPr>
        <w:numPr>
          <w:ilvl w:val="0"/>
          <w:numId w:val="0"/>
        </w:numPr>
        <w:rPr>
          <w:rFonts w:hint="eastAsia"/>
          <w:vertAlign w:val="baseline"/>
          <w:lang w:val="en-US" w:eastAsia="zh-CN"/>
        </w:rPr>
      </w:pPr>
      <w:r>
        <w:rPr>
          <w:rFonts w:hint="eastAsia"/>
          <w:vertAlign w:val="baseline"/>
          <w:lang w:val="en-US" w:eastAsia="zh-CN"/>
        </w:rPr>
        <w:t>3.党的执政方式</w:t>
      </w:r>
    </w:p>
    <w:p>
      <w:pPr>
        <w:numPr>
          <w:ilvl w:val="0"/>
          <w:numId w:val="0"/>
        </w:numPr>
        <w:rPr>
          <w:rFonts w:hint="eastAsia"/>
          <w:vertAlign w:val="baseline"/>
          <w:lang w:val="en-US" w:eastAsia="zh-CN"/>
        </w:rPr>
      </w:pPr>
      <w:r>
        <w:rPr>
          <w:rFonts w:hint="eastAsia"/>
          <w:vertAlign w:val="baseline"/>
          <w:lang w:val="en-US" w:eastAsia="zh-CN"/>
        </w:rPr>
        <w:t>4.社会主义法治国家的建设要求、依法治国的原则</w:t>
      </w:r>
    </w:p>
    <w:p>
      <w:pPr>
        <w:numPr>
          <w:ilvl w:val="0"/>
          <w:numId w:val="0"/>
        </w:numPr>
        <w:rPr>
          <w:rFonts w:hint="eastAsia"/>
          <w:vertAlign w:val="baseline"/>
          <w:lang w:val="en-US" w:eastAsia="zh-CN"/>
        </w:rPr>
      </w:pPr>
      <w:r>
        <w:rPr>
          <w:rFonts w:hint="eastAsia"/>
          <w:vertAlign w:val="baseline"/>
          <w:lang w:val="en-US" w:eastAsia="zh-CN"/>
        </w:rPr>
        <w:t>5.民族区域自治制度</w:t>
      </w:r>
    </w:p>
    <w:p>
      <w:pPr>
        <w:numPr>
          <w:ilvl w:val="0"/>
          <w:numId w:val="0"/>
        </w:numPr>
        <w:rPr>
          <w:rFonts w:hint="eastAsia"/>
          <w:vertAlign w:val="baseline"/>
          <w:lang w:val="en-US" w:eastAsia="zh-CN"/>
        </w:rPr>
      </w:pPr>
      <w:r>
        <w:rPr>
          <w:rFonts w:hint="eastAsia"/>
          <w:vertAlign w:val="baseline"/>
          <w:lang w:val="en-US" w:eastAsia="zh-CN"/>
        </w:rPr>
        <w:t>6.价值观的导向作用</w:t>
      </w:r>
    </w:p>
    <w:p>
      <w:pPr>
        <w:numPr>
          <w:ilvl w:val="0"/>
          <w:numId w:val="0"/>
        </w:numPr>
        <w:rPr>
          <w:rFonts w:hint="eastAsia"/>
          <w:vertAlign w:val="baseline"/>
          <w:lang w:val="en-US" w:eastAsia="zh-CN"/>
        </w:rPr>
      </w:pPr>
      <w:r>
        <w:rPr>
          <w:rFonts w:hint="eastAsia"/>
          <w:vertAlign w:val="baseline"/>
          <w:lang w:val="en-US" w:eastAsia="zh-CN"/>
        </w:rPr>
        <w:t>7.辩证否定观</w:t>
      </w:r>
    </w:p>
    <w:p>
      <w:pPr>
        <w:numPr>
          <w:ilvl w:val="0"/>
          <w:numId w:val="0"/>
        </w:numPr>
        <w:rPr>
          <w:rFonts w:hint="eastAsia"/>
          <w:vertAlign w:val="baseline"/>
          <w:lang w:val="en-US" w:eastAsia="zh-CN"/>
        </w:rPr>
      </w:pPr>
      <w:r>
        <w:rPr>
          <w:rFonts w:hint="eastAsia"/>
          <w:vertAlign w:val="baseline"/>
          <w:lang w:val="en-US" w:eastAsia="zh-CN"/>
        </w:rPr>
        <w:t>8.文化自信与文化强国</w:t>
      </w:r>
    </w:p>
    <w:p>
      <w:pPr>
        <w:numPr>
          <w:ilvl w:val="0"/>
          <w:numId w:val="0"/>
        </w:numPr>
        <w:rPr>
          <w:rFonts w:hint="eastAsia"/>
          <w:vertAlign w:val="baseline"/>
          <w:lang w:val="en-US" w:eastAsia="zh-CN"/>
        </w:rPr>
      </w:pPr>
      <w:r>
        <w:rPr>
          <w:rFonts w:hint="eastAsia"/>
          <w:vertAlign w:val="baseline"/>
          <w:lang w:val="en-US" w:eastAsia="zh-CN"/>
        </w:rPr>
        <w:t>9.思维和存在的关系、实践和认识的关系</w:t>
      </w:r>
    </w:p>
    <w:p>
      <w:pPr>
        <w:numPr>
          <w:ilvl w:val="0"/>
          <w:numId w:val="0"/>
        </w:numPr>
        <w:rPr>
          <w:rFonts w:hint="eastAsia"/>
          <w:vertAlign w:val="baseline"/>
          <w:lang w:val="en-US" w:eastAsia="zh-CN"/>
        </w:rPr>
      </w:pPr>
      <w:r>
        <w:rPr>
          <w:rFonts w:hint="eastAsia"/>
          <w:vertAlign w:val="baseline"/>
          <w:lang w:val="en-US" w:eastAsia="zh-CN"/>
        </w:rPr>
        <w:t>10.矛盾问题的精髓</w:t>
      </w:r>
    </w:p>
    <w:p>
      <w:pPr>
        <w:numPr>
          <w:ilvl w:val="0"/>
          <w:numId w:val="0"/>
        </w:numPr>
        <w:rPr>
          <w:rFonts w:hint="eastAsia"/>
          <w:vertAlign w:val="baseline"/>
          <w:lang w:val="en-US" w:eastAsia="zh-CN"/>
        </w:rPr>
      </w:pPr>
      <w:r>
        <w:rPr>
          <w:rFonts w:hint="eastAsia"/>
          <w:vertAlign w:val="baseline"/>
          <w:lang w:val="en-US" w:eastAsia="zh-CN"/>
        </w:rPr>
        <w:t>11.美国的总统制下总统和国会的关系</w:t>
      </w:r>
    </w:p>
    <w:p>
      <w:pPr>
        <w:numPr>
          <w:ilvl w:val="0"/>
          <w:numId w:val="0"/>
        </w:numPr>
        <w:rPr>
          <w:rFonts w:hint="eastAsia"/>
          <w:vertAlign w:val="baseline"/>
          <w:lang w:val="en-US" w:eastAsia="zh-CN"/>
        </w:rPr>
      </w:pPr>
      <w:r>
        <w:rPr>
          <w:rFonts w:hint="eastAsia"/>
          <w:vertAlign w:val="baseline"/>
          <w:lang w:val="en-US" w:eastAsia="zh-CN"/>
        </w:rPr>
        <w:t>12.国际关系</w:t>
      </w:r>
    </w:p>
    <w:p>
      <w:pPr>
        <w:numPr>
          <w:ilvl w:val="0"/>
          <w:numId w:val="0"/>
        </w:numPr>
        <w:rPr>
          <w:rFonts w:hint="eastAsia"/>
          <w:vertAlign w:val="baseline"/>
          <w:lang w:val="en-US" w:eastAsia="zh-CN"/>
        </w:rPr>
      </w:pPr>
      <w:r>
        <w:rPr>
          <w:rFonts w:hint="eastAsia"/>
          <w:vertAlign w:val="baseline"/>
          <w:lang w:val="en-US" w:eastAsia="zh-CN"/>
        </w:rPr>
        <w:t>13.国家主权</w:t>
      </w:r>
    </w:p>
    <w:p>
      <w:pPr>
        <w:numPr>
          <w:ilvl w:val="0"/>
          <w:numId w:val="0"/>
        </w:numPr>
        <w:rPr>
          <w:rFonts w:hint="eastAsia"/>
          <w:vertAlign w:val="baseline"/>
          <w:lang w:val="en-US" w:eastAsia="zh-CN"/>
        </w:rPr>
      </w:pPr>
      <w:r>
        <w:rPr>
          <w:rFonts w:hint="eastAsia"/>
          <w:vertAlign w:val="baseline"/>
          <w:lang w:val="en-US" w:eastAsia="zh-CN"/>
        </w:rPr>
        <w:t>14.联合国</w:t>
      </w:r>
    </w:p>
    <w:p>
      <w:pPr>
        <w:numPr>
          <w:ilvl w:val="0"/>
          <w:numId w:val="0"/>
        </w:numPr>
        <w:rPr>
          <w:rFonts w:hint="default"/>
          <w:vertAlign w:val="baseline"/>
          <w:lang w:val="en-US" w:eastAsia="zh-CN"/>
        </w:rPr>
      </w:pPr>
      <w:r>
        <w:rPr>
          <w:rFonts w:hint="eastAsia"/>
          <w:vertAlign w:val="baseline"/>
          <w:lang w:val="en-US" w:eastAsia="zh-CN"/>
        </w:rPr>
        <w:t>15.金砖国家</w:t>
      </w:r>
    </w:p>
    <w:p>
      <w:pPr>
        <w:numPr>
          <w:ilvl w:val="0"/>
          <w:numId w:val="0"/>
        </w:numPr>
        <w:rPr>
          <w:rFonts w:hint="default"/>
          <w:vertAlign w:val="baseline"/>
          <w:lang w:val="en-US" w:eastAsia="zh-CN"/>
        </w:rPr>
      </w:pPr>
      <w:r>
        <w:rPr>
          <w:rFonts w:hint="default"/>
          <w:vertAlign w:val="baseline"/>
          <w:lang w:val="en-US" w:eastAsia="zh-CN"/>
        </w:rPr>
        <w:t>16.①坚持党的领导。在基层治理中要加强基层党组织建设，发挥党员的先锋模范作用，提升社区治理水平。（3分）②实行民主治理。在基层治理中充分发挥人民代表大会制度的优越性，保证人民当家作主权利的充分实现。（3分）③树立法治思维。在基层治理中提升居民的法治意识，营造“遇事找法”的法治氛围，发挥法治在建设和谐社区中的作用。（3分）④借助信息技术，在基层治理中积极探索大数据、人工智能等技术手段的运用，创新治理方法，提升公共服务水平。（3分）</w:t>
      </w:r>
    </w:p>
    <w:p>
      <w:pPr>
        <w:numPr>
          <w:ilvl w:val="0"/>
          <w:numId w:val="0"/>
        </w:numPr>
        <w:rPr>
          <w:rFonts w:hint="default"/>
          <w:vertAlign w:val="baseline"/>
          <w:lang w:val="en-US" w:eastAsia="zh-CN"/>
        </w:rPr>
      </w:pPr>
      <w:r>
        <w:rPr>
          <w:rFonts w:hint="default"/>
          <w:vertAlign w:val="baseline"/>
          <w:lang w:val="en-US" w:eastAsia="zh-CN"/>
        </w:rPr>
        <w:t>17.①《意见》明确了网络暴力违法犯罪的法律适用标准，有利于严格执法，公正司法，全民守法，推进全面依法治国。（3分）②《意见》依法支持针对网络暴力的民事维权，依法严厉打击网络暴力违法犯罪活动，有利于切实维护公民合法权益、保障社会公平正义。（3分）③《意见》强调通过相关部门能动履职、多元共治，实现源头治理，有利于从根本上减少网络暴力的发生，营造清朗网络空间。（3分）</w:t>
      </w:r>
    </w:p>
    <w:p>
      <w:pPr>
        <w:numPr>
          <w:ilvl w:val="0"/>
          <w:numId w:val="0"/>
        </w:numPr>
        <w:rPr>
          <w:rFonts w:hint="default"/>
          <w:vertAlign w:val="baseline"/>
          <w:lang w:val="en-US" w:eastAsia="zh-CN"/>
        </w:rPr>
      </w:pPr>
      <w:r>
        <w:rPr>
          <w:rFonts w:hint="default"/>
          <w:vertAlign w:val="baseline"/>
          <w:lang w:val="en-US" w:eastAsia="zh-CN"/>
        </w:rPr>
        <w:t>18.（1）①矛盾就是对立统一，矛盾双方在一定条件下相互转化。封锁会倒逼我们更加自强不息，通过积极实施创新驱动发展战略，打破封锁实现发展。（3分）②事物的发展是内因和外因共同起作用的结果，内因是事物发展的根本。封锁扼制不了中国的发展，历史多次证明中国人民有勇气、有信心、有能力实现独立自主，自力更生，打破封锁实现发展。（3分）③世界是普遍联系的，我们不能因被封锁而自我封闭，而应始终坚持对外开放，积极加强与国际社会的合作交流，实现高质量发展。（3分）</w:t>
      </w:r>
    </w:p>
    <w:p>
      <w:pPr>
        <w:numPr>
          <w:ilvl w:val="0"/>
          <w:numId w:val="0"/>
        </w:numPr>
        <w:rPr>
          <w:rFonts w:hint="default"/>
          <w:vertAlign w:val="baseline"/>
          <w:lang w:val="en-US" w:eastAsia="zh-CN"/>
        </w:rPr>
      </w:pPr>
      <w:r>
        <w:rPr>
          <w:rFonts w:hint="default"/>
          <w:vertAlign w:val="baseline"/>
          <w:lang w:val="en-US" w:eastAsia="zh-CN"/>
        </w:rPr>
        <w:t>（2）①以爱国主义为核心的团结统一、爱好和平、勤劳勇敢、自强不息的伟大民族精神，为中国打破封锁，实现发展提供了强大的精神动力。（3分）②人民是文化创新的主体，中国人民坚持以社会主义核心价值观凝魂聚力，坚定文化自信，是打破封锁、实现发展的力量源泉。（3分）</w:t>
      </w:r>
    </w:p>
    <w:p>
      <w:pPr>
        <w:numPr>
          <w:ilvl w:val="0"/>
          <w:numId w:val="0"/>
        </w:numPr>
        <w:rPr>
          <w:rFonts w:hint="default"/>
          <w:vertAlign w:val="baseline"/>
          <w:lang w:val="en-US" w:eastAsia="zh-CN"/>
        </w:rPr>
      </w:pPr>
      <w:r>
        <w:rPr>
          <w:rFonts w:hint="default"/>
          <w:vertAlign w:val="baseline"/>
          <w:lang w:val="en-US" w:eastAsia="zh-CN"/>
        </w:rPr>
        <w:t>19.①我国是一个主权国家，有权自主决定自己的外交事务，不受外来干涉；（3分）②鉴于国际原子能机构近年来在某些领域违背联合国宪章的宗旨和原则的表现，中国通过这一决定表明了自己的立场；（3分）③中国作为一个负责任的大国，理应督促国际原子能机构改进工作，发挥其应有的作用，促进世界的和平与发展。（3分）</w:t>
      </w:r>
    </w:p>
    <w:p>
      <w:pPr>
        <w:numPr>
          <w:ilvl w:val="0"/>
          <w:numId w:val="0"/>
        </w:numPr>
        <w:rPr>
          <w:rFonts w:hint="eastAsia"/>
          <w:vertAlign w:val="baseline"/>
          <w:lang w:eastAsia="zh-CN"/>
        </w:rPr>
      </w:pPr>
      <w:r>
        <w:rPr>
          <w:rFonts w:hint="default"/>
          <w:vertAlign w:val="baseline"/>
          <w:lang w:val="en-US" w:eastAsia="zh-CN"/>
        </w:rPr>
        <w:t>20.①积极参与经济全球化，更好利用国内国际两个市场、两种资源。（2分）②以共建“一带一路”为重点，坚持共商共建共享，推动与沿线国家共同繁荣。（3分）③依托超大规模市场优势，发挥消费对经济的拉动作用，坚定外国企业深耕中国市场的信心。（3分）④营造良好的营商环境，吸引外商投资，建设更高水平开放型经济新体制。（2分）</w:t>
      </w:r>
    </w:p>
    <w:p>
      <w:pPr>
        <w:numPr>
          <w:ilvl w:val="0"/>
          <w:numId w:val="0"/>
        </w:numPr>
        <w:rPr>
          <w:rFonts w:hint="eastAsia"/>
          <w:vertAlign w:val="baseline"/>
          <w:lang w:eastAsia="zh-CN"/>
        </w:rPr>
      </w:pPr>
    </w:p>
    <w:p>
      <w:pPr>
        <w:numPr>
          <w:ilvl w:val="0"/>
          <w:numId w:val="0"/>
        </w:numPr>
        <w:rPr>
          <w:rFonts w:hint="default"/>
          <w:vertAlign w:val="baseline"/>
          <w:lang w:val="en-US" w:eastAsia="zh-CN"/>
        </w:rPr>
      </w:pPr>
      <w:r>
        <w:rPr>
          <w:rFonts w:hint="eastAsia"/>
          <w:lang w:eastAsia="zh-CN"/>
        </w:rPr>
        <w:t>五、改进措施</w:t>
      </w:r>
    </w:p>
    <w:p>
      <w:pPr>
        <w:numPr>
          <w:ilvl w:val="0"/>
          <w:numId w:val="0"/>
        </w:numPr>
        <w:rPr>
          <w:rFonts w:hint="eastAsia"/>
          <w:vertAlign w:val="baseline"/>
          <w:lang w:val="en-US" w:eastAsia="zh-CN"/>
        </w:rPr>
      </w:pPr>
      <w:r>
        <w:rPr>
          <w:rFonts w:hint="eastAsia"/>
          <w:vertAlign w:val="baseline"/>
          <w:lang w:val="en-US" w:eastAsia="zh-CN"/>
        </w:rPr>
        <w:t>1.抓重点题型（高难度题型）：经济类的图文数字类试题、表格类试题、漫画类试题、传导类试题、古诗词类试题。</w:t>
      </w:r>
    </w:p>
    <w:p>
      <w:pPr>
        <w:numPr>
          <w:ilvl w:val="0"/>
          <w:numId w:val="0"/>
        </w:numPr>
        <w:rPr>
          <w:rFonts w:hint="eastAsia"/>
          <w:vertAlign w:val="baseline"/>
          <w:lang w:val="en-US" w:eastAsia="zh-CN"/>
        </w:rPr>
      </w:pPr>
      <w:r>
        <w:rPr>
          <w:rFonts w:hint="eastAsia"/>
          <w:vertAlign w:val="baseline"/>
          <w:lang w:val="en-US" w:eastAsia="zh-CN"/>
        </w:rPr>
        <w:t>2.抓重点知识和核心知识的易混易错，精心选择典型试题进行改造后的训练。</w:t>
      </w:r>
    </w:p>
    <w:p>
      <w:pPr>
        <w:numPr>
          <w:ilvl w:val="0"/>
          <w:numId w:val="0"/>
        </w:numPr>
        <w:rPr>
          <w:rFonts w:hint="eastAsia"/>
          <w:vertAlign w:val="baseline"/>
          <w:lang w:val="en-US" w:eastAsia="zh-CN"/>
        </w:rPr>
      </w:pPr>
      <w:r>
        <w:rPr>
          <w:rFonts w:hint="eastAsia"/>
          <w:vertAlign w:val="baseline"/>
          <w:lang w:val="en-US" w:eastAsia="zh-CN"/>
        </w:rPr>
        <w:t>3.精心选择学生高错误率试题进行变式再练、方法指导，选择题讲解过程化、可视化。</w:t>
      </w:r>
    </w:p>
    <w:p>
      <w:pPr>
        <w:numPr>
          <w:ilvl w:val="0"/>
          <w:numId w:val="0"/>
        </w:numPr>
        <w:rPr>
          <w:rFonts w:hint="eastAsia"/>
          <w:vertAlign w:val="baseline"/>
          <w:lang w:val="en-US" w:eastAsia="zh-CN"/>
        </w:rPr>
      </w:pPr>
      <w:r>
        <w:rPr>
          <w:rFonts w:hint="eastAsia"/>
          <w:vertAlign w:val="baseline"/>
          <w:lang w:val="en-US" w:eastAsia="zh-CN"/>
        </w:rPr>
        <w:t>4、强化核心观点和主干知识的教学，关注基本概念之间的区别和联系。本题考察市场、政府、科学发展观，均属于最核心内容，但学生的掌握情况不够理性。</w:t>
      </w:r>
    </w:p>
    <w:p>
      <w:pPr>
        <w:numPr>
          <w:ilvl w:val="0"/>
          <w:numId w:val="0"/>
        </w:numPr>
        <w:rPr>
          <w:rFonts w:hint="eastAsia"/>
          <w:vertAlign w:val="baseline"/>
          <w:lang w:val="en-US" w:eastAsia="zh-CN"/>
        </w:rPr>
      </w:pPr>
      <w:r>
        <w:rPr>
          <w:rFonts w:hint="eastAsia"/>
          <w:vertAlign w:val="baseline"/>
          <w:lang w:val="en-US" w:eastAsia="zh-CN"/>
        </w:rPr>
        <w:t>5、重视审题能力、材料阅读分析能力培养，从审题步骤、审题习惯入手，关注材料和设问结构，学会从材料提炼观点，观点结合材料。</w:t>
      </w:r>
    </w:p>
    <w:p>
      <w:pPr>
        <w:numPr>
          <w:ilvl w:val="0"/>
          <w:numId w:val="0"/>
        </w:numPr>
        <w:rPr>
          <w:rFonts w:hint="eastAsia"/>
          <w:vertAlign w:val="baseline"/>
          <w:lang w:val="en-US" w:eastAsia="zh-CN"/>
        </w:rPr>
      </w:pPr>
      <w:r>
        <w:rPr>
          <w:rFonts w:hint="eastAsia"/>
          <w:vertAlign w:val="baseline"/>
          <w:lang w:val="en-US" w:eastAsia="zh-CN"/>
        </w:rPr>
        <w:t>6、增加限时训练，适应考试节奏，培养学生合理规划时间的意识。</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sz w:val="10"/>
          <w:szCs w:val="10"/>
          <w:lang w:eastAsia="zh-CN"/>
        </w:rPr>
      </w:pPr>
    </w:p>
    <w:sectPr>
      <w:pgSz w:w="11906" w:h="16838"/>
      <w:pgMar w:top="1440"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B4CDA"/>
    <w:multiLevelType w:val="singleLevel"/>
    <w:tmpl w:val="0B2B4CDA"/>
    <w:lvl w:ilvl="0" w:tentative="0">
      <w:start w:val="3"/>
      <w:numFmt w:val="chineseCounting"/>
      <w:suff w:val="nothing"/>
      <w:lvlText w:val="%1、"/>
      <w:lvlJc w:val="left"/>
      <w:rPr>
        <w:rFonts w:hint="eastAsia"/>
      </w:rPr>
    </w:lvl>
  </w:abstractNum>
  <w:abstractNum w:abstractNumId="1">
    <w:nsid w:val="321D8A19"/>
    <w:multiLevelType w:val="singleLevel"/>
    <w:tmpl w:val="321D8A1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56EA4BE4"/>
    <w:rsid w:val="16A022AB"/>
    <w:rsid w:val="39531B63"/>
    <w:rsid w:val="4A0A4CCE"/>
    <w:rsid w:val="51446E73"/>
    <w:rsid w:val="56EA4BE4"/>
    <w:rsid w:val="7419712B"/>
    <w:rsid w:val="7B254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2019-03-01T00:30:00Z</dcterms:created>
  <dc:creator>xt</dc:creator>
  <cp:lastModifiedBy>zephyr</cp:lastModifiedBy>
  <dcterms:modified xsi:type="dcterms:W3CDTF">2023-12-01T07:58:39Z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2848D2D51FC04C159C4F6A3638B80349_13</vt:lpwstr>
  </property>
</Properties>
</file>