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评课意见：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课件字体应调整，需要照顾到后排学生；课件内容应调整，需要变换思维，把视频放到导入环节，调动学生的积极性。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关注对学生思维的引导，设置相关的情境与问题，</w:t>
      </w:r>
      <w:r>
        <w:rPr>
          <w:rFonts w:ascii="宋体" w:hAnsi="宋体" w:eastAsia="宋体" w:cs="宋体"/>
          <w:sz w:val="24"/>
          <w:szCs w:val="24"/>
        </w:rPr>
        <w:t>让学生多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思考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ascii="宋体" w:hAnsi="宋体" w:eastAsia="宋体" w:cs="宋体"/>
          <w:sz w:val="24"/>
          <w:szCs w:val="24"/>
        </w:rPr>
        <w:t>多探究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充分发挥学生在课堂教学中的主体地位。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对于教学重点和教学难点要把握精当，对教学内容轻重缓急的处理要精准，对于细节方面要个个击破。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知识点呈现方式需要讲究方式方法，在备课时对各教学环节以及过渡需要结合学情和教材做好精细设计。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对于学生的讨论以及回答应给予全面评价，教师需要对此站在一定高度进行总结与升华。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教学资源的选用要注重现实性、时效性以及吸引力，要能够激起激发学生的学习兴趣，调动课堂学习氛围。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C58EAD4"/>
    <w:multiLevelType w:val="singleLevel"/>
    <w:tmpl w:val="5C58EAD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wNzg3OWVhZjQzNzIwOTc0NDMyOWYzZjY1MWNkMmIifQ=="/>
  </w:docVars>
  <w:rsids>
    <w:rsidRoot w:val="0D6A2784"/>
    <w:rsid w:val="0D6A2784"/>
    <w:rsid w:val="7A5D4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285</Words>
  <Characters>285</Characters>
  <Lines>0</Lines>
  <Paragraphs>0</Paragraphs>
  <TotalTime>16</TotalTime>
  <ScaleCrop>false</ScaleCrop>
  <LinksUpToDate>false</LinksUpToDate>
  <CharactersWithSpaces>286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2023-10-20T02:07:00Z</dcterms:created>
  <dc:creator>眼眸</dc:creator>
  <cp:lastModifiedBy>张雯（张晨希）</cp:lastModifiedBy>
  <dcterms:modified xsi:type="dcterms:W3CDTF">2023-11-06T01:58:33Z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8200B3B80F4D46E8B866D40ED55C88C8</vt:lpwstr>
  </property>
</Properties>
</file>