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hint="eastAsia"/>
          <w:b/>
          <w:bCs/>
          <w:sz w:val="32"/>
          <w:szCs w:val="36"/>
          <w:lang w:val="en-US" w:eastAsia="zh-CN"/>
        </w:rPr>
      </w:pPr>
      <w:r>
        <w:rPr>
          <w:rFonts w:hint="eastAsia"/>
          <w:b/>
          <w:bCs/>
          <w:sz w:val="32"/>
          <w:szCs w:val="36"/>
          <w:lang w:val="en-US" w:eastAsia="zh-CN"/>
        </w:rPr>
        <w:t>2023-2024学年度第一次月测</w:t>
      </w:r>
    </w:p>
    <w:p>
      <w:pPr>
        <w:jc w:val="center"/>
        <w:textAlignment w:val="center"/>
        <w:rPr>
          <w:rFonts w:hint="eastAsia"/>
          <w:b/>
          <w:bCs/>
          <w:sz w:val="32"/>
          <w:szCs w:val="36"/>
          <w:lang w:val="en-US" w:eastAsia="zh-CN"/>
        </w:rPr>
      </w:pPr>
      <w:r>
        <w:rPr>
          <w:rFonts w:hint="eastAsia"/>
          <w:b/>
          <w:bCs/>
          <w:sz w:val="32"/>
          <w:szCs w:val="36"/>
          <w:lang w:val="en-US" w:eastAsia="zh-CN"/>
        </w:rPr>
        <w:t>高二政治试卷</w:t>
      </w:r>
    </w:p>
    <w:p>
      <w:pPr>
        <w:jc w:val="center"/>
        <w:textAlignment w:val="center"/>
        <w:rPr>
          <w:rFonts w:hint="eastAsia"/>
          <w:b/>
          <w:bCs/>
          <w:lang w:val="en-US" w:eastAsia="zh-CN"/>
        </w:rPr>
      </w:pPr>
      <w:r>
        <w:rPr>
          <w:rFonts w:hint="eastAsia"/>
          <w:b/>
          <w:bCs/>
          <w:lang w:val="en-US" w:eastAsia="zh-CN"/>
        </w:rPr>
        <w:t>本卷：共100分    考试时间：75分钟</w:t>
      </w:r>
    </w:p>
    <w:p>
      <w:pPr>
        <w:keepNext w:val="0"/>
        <w:keepLines w:val="0"/>
        <w:pageBreakBefore w:val="0"/>
        <w:widowControl w:val="0"/>
        <w:kinsoku/>
        <w:wordWrap/>
        <w:overflowPunct/>
        <w:topLinePunct w:val="0"/>
        <w:autoSpaceDE/>
        <w:autoSpaceDN/>
        <w:bidi w:val="0"/>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一、单项选择题：共15题，每题3分，共45分。每题只有一个选项最符合题意。</w:t>
      </w:r>
    </w:p>
    <w:p>
      <w:pPr>
        <w:keepNext w:val="0"/>
        <w:keepLines w:val="0"/>
        <w:pageBreakBefore w:val="0"/>
        <w:widowControl w:val="0"/>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FF0000"/>
          <w:sz w:val="21"/>
          <w:szCs w:val="21"/>
          <w:lang w:val="en-US" w:eastAsia="zh-CN"/>
        </w:rPr>
        <w:t>1、</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党的建设伟大工程</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sz w:val="21"/>
          <w:szCs w:val="21"/>
        </w:rPr>
        <w:t>历史已经证明并将继续证明，没有中国共产党的领导，民族复兴必然是空想。打铁必须自身硬，党要团结带领人民进行伟大斗争、推进伟大事业、实现伟大梦想，必须深入推进党的建设新的伟大工程。这要求中国共产党</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①要不断增强党的政治领导力、思想引领力、群众组织力</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②在新时代党的建设中突出组织建设的重要地位</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③在应对国内外各种风险和考验的历史进程中确立自身的执政地位</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④结合伟大斗争、伟大事业、伟大梦想的实践来推进伟大工程</w:t>
      </w:r>
    </w:p>
    <w:p>
      <w:pPr>
        <w:keepNext w:val="0"/>
        <w:keepLines w:val="0"/>
        <w:pageBreakBefore w:val="0"/>
        <w:widowControl w:val="0"/>
        <w:tabs>
          <w:tab w:val="left" w:pos="2076"/>
          <w:tab w:val="left" w:pos="4153"/>
          <w:tab w:val="left" w:pos="6229"/>
        </w:tabs>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B．③④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C．①④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D．②③</w:t>
      </w:r>
    </w:p>
    <w:p>
      <w:pPr>
        <w:keepNext w:val="0"/>
        <w:keepLines w:val="0"/>
        <w:pageBreakBefore w:val="0"/>
        <w:widowControl w:val="0"/>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FF0000"/>
          <w:sz w:val="21"/>
          <w:szCs w:val="21"/>
          <w:lang w:val="en-US" w:eastAsia="zh-CN"/>
        </w:rPr>
        <w:t>2、</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全过程人民民主</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sz w:val="21"/>
          <w:szCs w:val="21"/>
        </w:rPr>
        <w:t>中国实行的全过程人民民主，是过程民主和成果民主、程序民主和实质民主、直接民主和间接民主、人民民主和国家意志相统一，是全链条、全方位、全覆盖的民主，既有鲜明的中国特色，也体现全人类共同价值，为丰富和发展人类政治文明贡献了中国智慧。中国的民主实践表明</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①全过程人民民主是我国社会主义民主政治的鲜明特点</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②全过程人民民主提升了人民当家作主的社会法律地位</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③中国民主建设智慧和方案为其他各国民主提供了样板</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④充分彰显我国民主是最真实、最广泛、最管用的民主</w:t>
      </w:r>
    </w:p>
    <w:p>
      <w:pPr>
        <w:keepNext w:val="0"/>
        <w:keepLines w:val="0"/>
        <w:pageBreakBefore w:val="0"/>
        <w:widowControl w:val="0"/>
        <w:numPr>
          <w:ilvl w:val="0"/>
          <w:numId w:val="1"/>
        </w:numPr>
        <w:tabs>
          <w:tab w:val="left" w:pos="2076"/>
          <w:tab w:val="left" w:pos="4153"/>
          <w:tab w:val="left" w:pos="6229"/>
        </w:tabs>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B．①④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C．②③</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D．③④</w:t>
      </w:r>
    </w:p>
    <w:p>
      <w:pPr>
        <w:keepNext w:val="0"/>
        <w:keepLines w:val="0"/>
        <w:pageBreakBefore w:val="0"/>
        <w:widowControl w:val="0"/>
        <w:tabs>
          <w:tab w:val="left" w:pos="2076"/>
          <w:tab w:val="left" w:pos="4153"/>
          <w:tab w:val="left" w:pos="6229"/>
        </w:tabs>
        <w:kinsoku/>
        <w:wordWrap/>
        <w:overflowPunct/>
        <w:topLinePunct w:val="0"/>
        <w:autoSpaceDE/>
        <w:autoSpaceDN/>
        <w:bidi w:val="0"/>
        <w:spacing w:line="400" w:lineRule="exact"/>
        <w:ind w:firstLine="422"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FF0000"/>
          <w:sz w:val="21"/>
          <w:szCs w:val="21"/>
        </w:rPr>
        <w:drawing>
          <wp:anchor distT="0" distB="0" distL="114300" distR="114300" simplePos="0" relativeHeight="251660288" behindDoc="0" locked="0" layoutInCell="1" allowOverlap="1">
            <wp:simplePos x="0" y="0"/>
            <wp:positionH relativeFrom="column">
              <wp:posOffset>3148965</wp:posOffset>
            </wp:positionH>
            <wp:positionV relativeFrom="paragraph">
              <wp:posOffset>555625</wp:posOffset>
            </wp:positionV>
            <wp:extent cx="1875155" cy="1585595"/>
            <wp:effectExtent l="0" t="0" r="4445" b="190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875155" cy="1585595"/>
                    </a:xfrm>
                    <a:prstGeom prst="rect">
                      <a:avLst/>
                    </a:prstGeom>
                    <a:noFill/>
                    <a:ln>
                      <a:noFill/>
                    </a:ln>
                  </pic:spPr>
                </pic:pic>
              </a:graphicData>
            </a:graphic>
          </wp:anchor>
        </w:drawing>
      </w:r>
      <w:r>
        <w:rPr>
          <w:rFonts w:hint="eastAsia" w:asciiTheme="minorEastAsia" w:hAnsiTheme="minorEastAsia" w:eastAsiaTheme="minorEastAsia" w:cstheme="minorEastAsia"/>
          <w:b/>
          <w:bCs/>
          <w:color w:val="FF0000"/>
          <w:sz w:val="21"/>
          <w:szCs w:val="21"/>
          <w:lang w:val="en-US" w:eastAsia="zh-CN"/>
        </w:rPr>
        <w:t>3、</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基层治理</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sz w:val="21"/>
          <w:szCs w:val="21"/>
        </w:rPr>
        <w:t>针对社区治理中存在的权责不清、一些问题久拖不决等难题，某社区探索了“社会治理合伙人”机制(见右图)，将与社区治理相关的六方主体全部纳入治理体系。明确各方责任，共同攻克社区顽疾。该机制之所以能破解治理难题在于</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①调动各主体热情，共同履行社会管理的职能</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②形成平等互利合作关系，利益上不再有差异</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③各主体共商共建，</w:t>
      </w:r>
      <w:r>
        <w:rPr>
          <w:rFonts w:hint="eastAsia" w:asciiTheme="minorEastAsia" w:hAnsiTheme="minorEastAsia" w:eastAsiaTheme="minorEastAsia" w:cstheme="minorEastAsia"/>
          <w:sz w:val="21"/>
          <w:szCs w:val="21"/>
          <w:lang w:val="en-US" w:eastAsia="zh-CN"/>
        </w:rPr>
        <w:t>提升</w:t>
      </w:r>
      <w:r>
        <w:rPr>
          <w:rFonts w:hint="eastAsia" w:asciiTheme="minorEastAsia" w:hAnsiTheme="minorEastAsia" w:eastAsiaTheme="minorEastAsia" w:cstheme="minorEastAsia"/>
          <w:sz w:val="21"/>
          <w:szCs w:val="21"/>
        </w:rPr>
        <w:t>基层社会治理</w:t>
      </w:r>
      <w:r>
        <w:rPr>
          <w:rFonts w:hint="eastAsia" w:asciiTheme="minorEastAsia" w:hAnsiTheme="minorEastAsia" w:eastAsiaTheme="minorEastAsia" w:cstheme="minorEastAsia"/>
          <w:sz w:val="21"/>
          <w:szCs w:val="21"/>
          <w:lang w:val="en-US" w:eastAsia="zh-CN"/>
        </w:rPr>
        <w:t>效率</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lang w:val="en-US" w:eastAsia="zh-CN"/>
        </w:rPr>
        <w:t>有利于</w:t>
      </w:r>
      <w:r>
        <w:rPr>
          <w:rFonts w:hint="eastAsia" w:asciiTheme="minorEastAsia" w:hAnsiTheme="minorEastAsia" w:eastAsiaTheme="minorEastAsia" w:cstheme="minorEastAsia"/>
          <w:sz w:val="21"/>
          <w:szCs w:val="21"/>
        </w:rPr>
        <w:t>有效统筹与整合多方资源，凝聚合力</w:t>
      </w:r>
    </w:p>
    <w:p>
      <w:pPr>
        <w:keepNext w:val="0"/>
        <w:keepLines w:val="0"/>
        <w:pageBreakBefore w:val="0"/>
        <w:widowControl w:val="0"/>
        <w:numPr>
          <w:ilvl w:val="0"/>
          <w:numId w:val="2"/>
        </w:numPr>
        <w:tabs>
          <w:tab w:val="left" w:pos="1660"/>
          <w:tab w:val="left" w:pos="4153"/>
          <w:tab w:val="left" w:pos="6229"/>
        </w:tabs>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B．③④  C．①④  D．②③</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cstheme="minorEastAsia"/>
          <w:b/>
          <w:bCs/>
          <w:color w:val="FF0000"/>
          <w:sz w:val="21"/>
          <w:szCs w:val="21"/>
          <w:lang w:val="en-US" w:eastAsia="zh-CN"/>
        </w:rPr>
        <w:t>4、</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国家治理</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sz w:val="21"/>
          <w:szCs w:val="21"/>
        </w:rPr>
        <w:t>甘肃平凉抓紧落实土地承包经营权登记制度，拿到土地承包证的农民对未来信心满满；北京东城探索“小巷管家”“小院议事厅”等基层群众自治模式，推动共建共治共享；福建三明打破医保管理“九龙治水”格局，深化医药卫生体制改革……放眼神州大地，党的十八大以来，中国特色社会主义制度在全面深化改革中不断完善。这</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①为人类探索建设更好社会贡献了中国智慧和中国方案</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②体现了我国不断推进国家治理体系和治理能力现代化</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③说明我国根本政治制度能够有效维护国家统一和民族团结</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④表明我国完成了中华民族有史以来最伟大最深刻的社会变革</w:t>
      </w:r>
    </w:p>
    <w:p>
      <w:pPr>
        <w:keepNext w:val="0"/>
        <w:keepLines w:val="0"/>
        <w:pageBreakBefore w:val="0"/>
        <w:widowControl w:val="0"/>
        <w:tabs>
          <w:tab w:val="left" w:pos="2076"/>
          <w:tab w:val="left" w:pos="4153"/>
          <w:tab w:val="left" w:pos="6229"/>
        </w:tabs>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B．①④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C．②③</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D．③④</w:t>
      </w:r>
    </w:p>
    <w:p>
      <w:pPr>
        <w:keepNext w:val="0"/>
        <w:keepLines w:val="0"/>
        <w:pageBreakBefore w:val="0"/>
        <w:widowControl w:val="0"/>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color w:val="FF0000"/>
          <w:sz w:val="21"/>
          <w:szCs w:val="21"/>
          <w:lang w:val="en-US" w:eastAsia="zh-CN"/>
        </w:rPr>
        <w:t>5、</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立法</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sz w:val="21"/>
          <w:szCs w:val="21"/>
        </w:rPr>
        <w:t>近年来，电动自行车以其快捷、轻便、经济等优点成为老百姓的代步工具，但随之出现的一系列问题，也给人民群众生命财产安全带来严重隐患。为进一步规范电动自行车管理，保护人民群众的健康和生命安全，山东省司法厅与省公安厅等部门密切配合，通过“立法公众代表座谈会”“调查问卷”“征求民意进社区”等活动，深入调查研究，反复修改论证，形成《山东省电动自行车管理办法》，经省政府常务会议审议通过</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电动自行车的管理得到有效解决，</w:t>
      </w:r>
      <w:r>
        <w:rPr>
          <w:rFonts w:hint="eastAsia" w:asciiTheme="minorEastAsia" w:hAnsiTheme="minorEastAsia" w:eastAsiaTheme="minorEastAsia" w:cstheme="minorEastAsia"/>
          <w:sz w:val="21"/>
          <w:szCs w:val="21"/>
        </w:rPr>
        <w:t>山东省政府的立法工作</w:t>
      </w:r>
      <w:r>
        <w:rPr>
          <w:rFonts w:hint="eastAsia" w:asciiTheme="minorEastAsia" w:hAnsiTheme="minorEastAsia" w:eastAsiaTheme="minorEastAsia" w:cstheme="minorEastAsia"/>
          <w:sz w:val="21"/>
          <w:szCs w:val="21"/>
          <w:lang w:val="en-US" w:eastAsia="zh-CN"/>
        </w:rPr>
        <w:t>给我们的启示</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①立法工作要坚持扩大民权，集中民智    ②</w:t>
      </w:r>
      <w:r>
        <w:rPr>
          <w:rFonts w:hint="eastAsia" w:asciiTheme="minorEastAsia" w:hAnsiTheme="minorEastAsia" w:eastAsiaTheme="minorEastAsia" w:cstheme="minorEastAsia"/>
          <w:sz w:val="21"/>
          <w:szCs w:val="21"/>
          <w:lang w:val="en-US" w:eastAsia="zh-CN"/>
        </w:rPr>
        <w:t>立法工作要充分发扬民主，听取民意</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③立法</w:t>
      </w:r>
      <w:r>
        <w:rPr>
          <w:rFonts w:hint="eastAsia" w:asciiTheme="minorEastAsia" w:hAnsiTheme="minorEastAsia" w:eastAsiaTheme="minorEastAsia" w:cstheme="minorEastAsia"/>
          <w:sz w:val="21"/>
          <w:szCs w:val="21"/>
          <w:lang w:val="en-US" w:eastAsia="zh-CN"/>
        </w:rPr>
        <w:t>工作</w:t>
      </w:r>
      <w:r>
        <w:rPr>
          <w:rFonts w:hint="eastAsia" w:asciiTheme="minorEastAsia" w:hAnsiTheme="minorEastAsia" w:eastAsiaTheme="minorEastAsia" w:cstheme="minorEastAsia"/>
          <w:sz w:val="21"/>
          <w:szCs w:val="21"/>
        </w:rPr>
        <w:t>要</w:t>
      </w:r>
      <w:r>
        <w:rPr>
          <w:rFonts w:hint="eastAsia" w:asciiTheme="minorEastAsia" w:hAnsiTheme="minorEastAsia" w:eastAsiaTheme="minorEastAsia" w:cstheme="minorEastAsia"/>
          <w:sz w:val="21"/>
          <w:szCs w:val="21"/>
          <w:lang w:val="en-US" w:eastAsia="zh-CN"/>
        </w:rPr>
        <w:t>深入调查研究，</w:t>
      </w:r>
      <w:r>
        <w:rPr>
          <w:rFonts w:hint="eastAsia" w:asciiTheme="minorEastAsia" w:hAnsiTheme="minorEastAsia" w:eastAsiaTheme="minorEastAsia" w:cstheme="minorEastAsia"/>
          <w:sz w:val="21"/>
          <w:szCs w:val="21"/>
        </w:rPr>
        <w:t>顺时代之需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④地方政府应积极履职，行使国家立法权</w:t>
      </w:r>
    </w:p>
    <w:p>
      <w:pPr>
        <w:keepNext w:val="0"/>
        <w:keepLines w:val="0"/>
        <w:pageBreakBefore w:val="0"/>
        <w:widowControl w:val="0"/>
        <w:tabs>
          <w:tab w:val="left" w:pos="2076"/>
          <w:tab w:val="left" w:pos="4153"/>
          <w:tab w:val="left" w:pos="6229"/>
        </w:tabs>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B．②③</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C．①④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D．③④</w:t>
      </w:r>
    </w:p>
    <w:p>
      <w:pPr>
        <w:keepNext w:val="0"/>
        <w:keepLines w:val="0"/>
        <w:pageBreakBefore w:val="0"/>
        <w:widowControl w:val="0"/>
        <w:shd w:val="clear" w:color="auto" w:fill="FFFFFF"/>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0" distR="0" simplePos="0" relativeHeight="251661312" behindDoc="0" locked="0" layoutInCell="1" allowOverlap="1">
            <wp:simplePos x="0" y="0"/>
            <wp:positionH relativeFrom="column">
              <wp:posOffset>3073400</wp:posOffset>
            </wp:positionH>
            <wp:positionV relativeFrom="paragraph">
              <wp:posOffset>375285</wp:posOffset>
            </wp:positionV>
            <wp:extent cx="2047875" cy="1339215"/>
            <wp:effectExtent l="0" t="0" r="9525" b="6985"/>
            <wp:wrapSquare wrapText="bothSides"/>
            <wp:docPr id="100009" name="图片 100009" descr="@@@ee1373d63706479093a310b83e13a3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ee1373d63706479093a310b83e13a3d5"/>
                    <pic:cNvPicPr>
                      <a:picLocks noChangeAspect="1"/>
                    </pic:cNvPicPr>
                  </pic:nvPicPr>
                  <pic:blipFill>
                    <a:blip r:embed="rId6"/>
                    <a:stretch>
                      <a:fillRect/>
                    </a:stretch>
                  </pic:blipFill>
                  <pic:spPr>
                    <a:xfrm>
                      <a:off x="0" y="0"/>
                      <a:ext cx="2047875" cy="1339215"/>
                    </a:xfrm>
                    <a:prstGeom prst="rect">
                      <a:avLst/>
                    </a:prstGeom>
                  </pic:spPr>
                </pic:pic>
              </a:graphicData>
            </a:graphic>
          </wp:anchor>
        </w:drawing>
      </w:r>
      <w:r>
        <w:rPr>
          <w:rFonts w:hint="eastAsia" w:asciiTheme="minorEastAsia" w:hAnsiTheme="minorEastAsia" w:eastAsiaTheme="minorEastAsia" w:cstheme="minorEastAsia"/>
          <w:b/>
          <w:bCs/>
          <w:color w:val="FF0000"/>
          <w:sz w:val="21"/>
          <w:szCs w:val="21"/>
          <w:lang w:val="en-US" w:eastAsia="zh-CN"/>
        </w:rPr>
        <w:t>6、</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矛盾特殊性、联系多样性</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sz w:val="21"/>
          <w:szCs w:val="21"/>
        </w:rPr>
        <w:t>6．下图漫画《生命是一场马拉松,并非每一段路都比拼速度》给我们的启示是</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①矛盾具有特殊性,要始终坚持具体问题具体分析</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②任何事物都有利弊两面,看问题要坚持一分为二</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③联系具有多样性,要以时间、地点、条件为转移</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④事物发展道路是曲折的,要勇敢面对挫折、考验</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B．①③</w:t>
      </w:r>
      <w:r>
        <w:rPr>
          <w:rFonts w:hint="eastAsia" w:asciiTheme="minorEastAsia" w:hAnsiTheme="minorEastAsia" w:eastAsiaTheme="minorEastAsia" w:cstheme="minorEastAsia"/>
          <w:sz w:val="21"/>
          <w:szCs w:val="21"/>
        </w:rPr>
        <w:tab/>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C．②④</w:t>
      </w:r>
      <w:r>
        <w:rPr>
          <w:rFonts w:hint="eastAsia" w:asciiTheme="minorEastAsia" w:hAnsiTheme="minorEastAsia" w:eastAsiaTheme="minorEastAsia" w:cstheme="minorEastAsia"/>
          <w:sz w:val="21"/>
          <w:szCs w:val="21"/>
        </w:rPr>
        <w:tab/>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D．③④</w:t>
      </w:r>
    </w:p>
    <w:p>
      <w:pPr>
        <w:keepNext w:val="0"/>
        <w:keepLines w:val="0"/>
        <w:pageBreakBefore w:val="0"/>
        <w:widowControl w:val="0"/>
        <w:shd w:val="clear" w:color="auto" w:fill="FFFFFF"/>
        <w:kinsoku/>
        <w:wordWrap/>
        <w:overflowPunct/>
        <w:topLinePunct w:val="0"/>
        <w:autoSpaceDE/>
        <w:autoSpaceDN/>
        <w:bidi w:val="0"/>
        <w:spacing w:line="400" w:lineRule="exact"/>
        <w:ind w:firstLine="211"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FF0000"/>
          <w:sz w:val="21"/>
          <w:szCs w:val="21"/>
          <w:lang w:val="en-US" w:eastAsia="zh-CN"/>
        </w:rPr>
        <w:t>7、</w:t>
      </w:r>
      <w:r>
        <w:rPr>
          <w:rFonts w:hint="eastAsia" w:asciiTheme="minorEastAsia" w:hAnsiTheme="minorEastAsia" w:eastAsiaTheme="minorEastAsia" w:cstheme="minorEastAsia"/>
          <w:b/>
          <w:bCs/>
          <w:color w:val="FF0000"/>
          <w:sz w:val="21"/>
          <w:szCs w:val="21"/>
          <w:lang w:val="en-US" w:eastAsia="zh-CN"/>
        </w:rPr>
        <w:t>（联系观，正确发挥主观能动性</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近年来，发展海洋牧场已成为我国的重要国策。海洋牧场在浅海养殖技术和模式上大胆创新，实现亩产经济效益成倍增长。同时，海洋牧场建设还可直接带动水产品精深加工、旅游业等多个产业发展，并实现海洋生态环境修复与优化。材料说明</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①人们可以根据事物本身所固有的联系，建立新的联系</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②尊重物质运动的客观规律是规律发生作用的前提条件</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③哲学智慧是在处理人与外部世界关系的实践中形成的</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④只有符合客观规律的正确意识，才能有效发挥能动作用</w:t>
      </w:r>
    </w:p>
    <w:p>
      <w:pPr>
        <w:keepNext w:val="0"/>
        <w:keepLines w:val="0"/>
        <w:pageBreakBefore w:val="0"/>
        <w:widowControl w:val="0"/>
        <w:shd w:val="clear" w:color="auto" w:fill="FFFFFF"/>
        <w:tabs>
          <w:tab w:val="left" w:pos="2078"/>
          <w:tab w:val="left" w:pos="4156"/>
          <w:tab w:val="left" w:pos="6234"/>
        </w:tabs>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A．①②</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B．①④</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C．②③</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D．③④</w:t>
      </w:r>
    </w:p>
    <w:p>
      <w:pPr>
        <w:keepNext w:val="0"/>
        <w:keepLines w:val="0"/>
        <w:pageBreakBefore w:val="0"/>
        <w:widowControl w:val="0"/>
        <w:shd w:val="clear" w:color="auto" w:fill="FFFFFF"/>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FF0000"/>
          <w:sz w:val="21"/>
          <w:szCs w:val="21"/>
          <w:lang w:val="en-US" w:eastAsia="zh-CN"/>
        </w:rPr>
        <w:t>8、</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社会存在和社会意识，联系观</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大食物观”与传统“粮食观”相对，是指我们日常摄入的营养品都是食物。过去的食物主要是指稻子、小麦等主粮，但随着生活水平的日益改善，现在老百姓每天吃的东西已经不局限于主粮，肉蛋奶、水产品、果蔬类等“副食”食物，正逐渐成为百姓餐桌上的“主角”。树立“大食物观”</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①要根据农业资源多样性，创造新的自在事物的联系</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②顺应了居民食物消费结构变化，体现社会意识</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随社会存在的变化而变化</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③要坚持立足整体，构建多元化食物供给体系</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④应多途径开发食物来源，将矛盾斗争性转化为同一性</w:t>
      </w:r>
    </w:p>
    <w:p>
      <w:pPr>
        <w:keepNext w:val="0"/>
        <w:keepLines w:val="0"/>
        <w:pageBreakBefore w:val="0"/>
        <w:widowControl w:val="0"/>
        <w:numPr>
          <w:ilvl w:val="0"/>
          <w:numId w:val="3"/>
        </w:numPr>
        <w:shd w:val="clear" w:color="auto" w:fill="FFFFFF"/>
        <w:tabs>
          <w:tab w:val="left" w:pos="2078"/>
          <w:tab w:val="left" w:pos="4156"/>
          <w:tab w:val="left" w:pos="6234"/>
        </w:tabs>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①②</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B．①③</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C．②③</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D．③④</w:t>
      </w:r>
    </w:p>
    <w:p>
      <w:pPr>
        <w:keepNext w:val="0"/>
        <w:keepLines w:val="0"/>
        <w:pageBreakBefore w:val="0"/>
        <w:widowControl w:val="0"/>
        <w:shd w:val="clear" w:color="auto" w:fill="FFFFFF"/>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FF0000"/>
          <w:sz w:val="21"/>
          <w:szCs w:val="21"/>
          <w:lang w:val="en-US" w:eastAsia="zh-CN"/>
        </w:rPr>
        <w:t>9、</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劳动、人生价值</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sz w:val="21"/>
          <w:szCs w:val="21"/>
        </w:rPr>
        <w:t>8．他们平均年龄77岁，都是借助短视频和直播在网上传授知识、专心科普的退休老人。他们中有知名院士和教授，也有普通的中小学教师。头发白了，心态依然年轻；语速缓慢，讲述依旧精彩。从中我们可以领悟到</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0" distR="0" simplePos="0" relativeHeight="251662336" behindDoc="0" locked="0" layoutInCell="1" allowOverlap="1">
            <wp:simplePos x="0" y="0"/>
            <wp:positionH relativeFrom="column">
              <wp:posOffset>1028700</wp:posOffset>
            </wp:positionH>
            <wp:positionV relativeFrom="paragraph">
              <wp:posOffset>40005</wp:posOffset>
            </wp:positionV>
            <wp:extent cx="2971800" cy="1609725"/>
            <wp:effectExtent l="0" t="0" r="0" b="0"/>
            <wp:wrapTopAndBottom/>
            <wp:docPr id="3" name="图片 3" descr="@@@a939bb7314b645338150d6dca7fdd4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939bb7314b645338150d6dca7fdd4cb"/>
                    <pic:cNvPicPr>
                      <a:picLocks noChangeAspect="1"/>
                    </pic:cNvPicPr>
                  </pic:nvPicPr>
                  <pic:blipFill>
                    <a:blip r:embed="rId7"/>
                    <a:stretch>
                      <a:fillRect/>
                    </a:stretch>
                  </pic:blipFill>
                  <pic:spPr>
                    <a:xfrm>
                      <a:off x="0" y="0"/>
                      <a:ext cx="2971800" cy="1609725"/>
                    </a:xfrm>
                    <a:prstGeom prst="rect">
                      <a:avLst/>
                    </a:prstGeom>
                  </pic:spPr>
                </pic:pic>
              </a:graphicData>
            </a:graphic>
          </wp:anchor>
        </w:drawing>
      </w:r>
      <w:r>
        <w:rPr>
          <w:rFonts w:hint="eastAsia" w:asciiTheme="minorEastAsia" w:hAnsiTheme="minorEastAsia" w:eastAsiaTheme="minorEastAsia" w:cstheme="minorEastAsia"/>
          <w:sz w:val="21"/>
          <w:szCs w:val="21"/>
        </w:rPr>
        <w:t>①社会意识具有相对独立性，心态决定着人们生活的方向和结果</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②人的价值在于获得社会认可，与时代发展同频共振才能活出精彩人生</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③劳动是人的存在方式，幸福是在促进社会进步的劳动中创造出来的</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④不断挑战自我，热情奉献社会和他人，提升自我价值，实现社会价值</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B．①④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C．②③</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D．③④</w:t>
      </w:r>
    </w:p>
    <w:p>
      <w:pPr>
        <w:keepNext w:val="0"/>
        <w:keepLines w:val="0"/>
        <w:pageBreakBefore w:val="0"/>
        <w:widowControl w:val="0"/>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FF0000"/>
          <w:sz w:val="21"/>
          <w:szCs w:val="21"/>
          <w:lang w:val="en-US" w:eastAsia="zh-CN"/>
        </w:rPr>
        <w:t>10、</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以人民为中心创造导向，满足人民群众精神文化需求</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宁夏“文化大篷车”在农村采风，在农村演出，请农民“审稿”，演出时间、地点由农民定，送戏下乡三十九载，流动演出2万余场次，行程百万干米，被誉为“我们农民自己的剧团”。由此可见，“文化大篷车“的成功在于</w:t>
      </w:r>
    </w:p>
    <w:p>
      <w:pPr>
        <w:keepNext w:val="0"/>
        <w:keepLines w:val="0"/>
        <w:pageBreakBefore w:val="0"/>
        <w:widowControl w:val="0"/>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①坚持以人民为中心的创作导向           ②基层群众文化素养显著提升</w:t>
      </w:r>
    </w:p>
    <w:p>
      <w:pPr>
        <w:keepNext w:val="0"/>
        <w:keepLines w:val="0"/>
        <w:pageBreakBefore w:val="0"/>
        <w:widowControl w:val="0"/>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③满足基层群众的精神文化需求           ④发展好人民群众基本文化权益</w:t>
      </w:r>
    </w:p>
    <w:p>
      <w:pPr>
        <w:keepNext w:val="0"/>
        <w:keepLines w:val="0"/>
        <w:pageBreakBefore w:val="0"/>
        <w:widowControl w:val="0"/>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 ①②</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bookmarkStart w:id="0" w:name="_Hlk142851202"/>
      <w:r>
        <w:rPr>
          <w:rFonts w:hint="eastAsia" w:asciiTheme="minorEastAsia" w:hAnsiTheme="minorEastAsia" w:eastAsiaTheme="minorEastAsia" w:cstheme="minorEastAsia"/>
          <w:color w:val="000000" w:themeColor="text1"/>
          <w:sz w:val="21"/>
          <w:szCs w:val="21"/>
          <w14:textFill>
            <w14:solidFill>
              <w14:schemeClr w14:val="tx1"/>
            </w14:solidFill>
          </w14:textFill>
        </w:rPr>
        <w:t>.</w:t>
      </w:r>
      <w:bookmarkEnd w:id="0"/>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①③</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 ②④</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 ③④</w:t>
      </w:r>
    </w:p>
    <w:p>
      <w:pPr>
        <w:keepNext w:val="0"/>
        <w:keepLines w:val="0"/>
        <w:pageBreakBefore w:val="0"/>
        <w:widowControl w:val="0"/>
        <w:shd w:val="clear" w:color="auto" w:fill="FFFFFF"/>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FF0000"/>
          <w:sz w:val="21"/>
          <w:szCs w:val="21"/>
          <w:lang w:val="en-US" w:eastAsia="zh-CN"/>
        </w:rPr>
        <w:t>11、（中华优秀传统文化的时代价值</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法非从天下，非从地出，发于人间，合乎人心而已”，语出慎到的《慎子·逸文》，公元前300多年慎到的这种观点难能可贵；尽管彼“法”与今日之法律制度是有差异的，但它为中国特色社会主义法治道路提供了历史参照和法治传承。材料表明</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①中华法治文化蕴含的人本思想是推动社会进步的根本动力</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②源远流长的中华文化涵养着中华民族共同的价值观</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③中国优秀传统法治文化依然具有鲜活的当代价值</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④中华优秀传统法治文化是中国特色社会主义法治建设的源泉</w:t>
      </w:r>
    </w:p>
    <w:p>
      <w:pPr>
        <w:keepNext w:val="0"/>
        <w:keepLines w:val="0"/>
        <w:pageBreakBefore w:val="0"/>
        <w:widowControl w:val="0"/>
        <w:shd w:val="clear" w:color="auto" w:fill="FFFFFF"/>
        <w:tabs>
          <w:tab w:val="left" w:pos="2078"/>
          <w:tab w:val="left" w:pos="4156"/>
          <w:tab w:val="left" w:pos="6234"/>
        </w:tabs>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A．①②</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B．①④</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C．②</w:t>
      </w:r>
      <w:bookmarkStart w:id="1" w:name="_Hlk143415247"/>
      <w:r>
        <w:rPr>
          <w:rFonts w:hint="eastAsia" w:asciiTheme="minorEastAsia" w:hAnsiTheme="minorEastAsia" w:eastAsiaTheme="minorEastAsia" w:cstheme="minorEastAsia"/>
          <w:color w:val="000000" w:themeColor="text1"/>
          <w:sz w:val="21"/>
          <w:szCs w:val="21"/>
          <w14:textFill>
            <w14:solidFill>
              <w14:schemeClr w14:val="tx1"/>
            </w14:solidFill>
          </w14:textFill>
        </w:rPr>
        <w:t>③</w:t>
      </w:r>
      <w:bookmarkEnd w:id="1"/>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D．③④</w:t>
      </w:r>
    </w:p>
    <w:p>
      <w:pPr>
        <w:keepNext w:val="0"/>
        <w:keepLines w:val="0"/>
        <w:pageBreakBefore w:val="0"/>
        <w:widowControl w:val="0"/>
        <w:shd w:val="clear" w:color="auto" w:fill="FFFFFF"/>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FF0000"/>
          <w:sz w:val="21"/>
          <w:szCs w:val="21"/>
          <w:lang w:val="en-US" w:eastAsia="zh-CN"/>
        </w:rPr>
        <w:t>12、</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经济全球化、美国霸权主义</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近年来，美国借助美元主要国际储备货币地位，将美元“武器化”，收割世界各国财富，使世界许多国家深陷本国货币贬值、经济深度衰退、主权债务危机的泥潭。为规避美元带来的风险，俄罗斯、中国、印度、巴西、伊朗、委内瑞拉等国家纷纷减持美元储备，发展自己的金融结算体系，用本币进行贸易。这表明</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①金融全球化违背了世界经济发展趋势，不利于维护世界经济安全</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②构建公平、合理的世界经济金融新秩序已经成为世界各国的共识</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③减少对美元依赖、增强经济发展自主性，成为诸多国家的共同选择</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④巧取豪夺的美元霸权是世界经济不稳定性和不确定性的重要根源</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b/>
          <w:bCs/>
          <w:color w:val="FF0000"/>
          <w:sz w:val="21"/>
          <w:szCs w:val="21"/>
          <w:lang w:eastAsia="zh-CN"/>
        </w:rPr>
      </w:pPr>
      <w:r>
        <w:rPr>
          <w:rFonts w:hint="eastAsia" w:asciiTheme="minorEastAsia" w:hAnsiTheme="minorEastAsia" w:eastAsiaTheme="minorEastAsia" w:cstheme="minorEastAsia"/>
          <w:sz w:val="21"/>
          <w:szCs w:val="21"/>
        </w:rPr>
        <w:t>A．①③</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B．①④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C．②③</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D．③④</w:t>
      </w:r>
    </w:p>
    <w:p>
      <w:pPr>
        <w:keepNext w:val="0"/>
        <w:keepLines w:val="0"/>
        <w:pageBreakBefore w:val="0"/>
        <w:widowControl w:val="0"/>
        <w:shd w:val="clear" w:color="auto" w:fill="FFFFFF"/>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FF0000"/>
          <w:sz w:val="21"/>
          <w:szCs w:val="21"/>
          <w:lang w:val="en-US" w:eastAsia="zh-CN"/>
        </w:rPr>
        <w:t>13、</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政体</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sz w:val="21"/>
          <w:szCs w:val="21"/>
        </w:rPr>
        <w:t>17．马克思和恩格斯在《德意志意识形态》中指出：“国家内部的一切斗争——民主政体、贵族政体和君主政体相互之间的斗争，争取选举权的斗争等等，不过是一些虚幻的形式……在这些形式下进行着各个不同阶级间的真正的斗争。”对此理解正确的是</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rPr>
        <w:t>A．各种形式政体都服务于统治阶级根本利益</w:t>
      </w:r>
      <w:r>
        <w:rPr>
          <w:rFonts w:hint="eastAsia" w:asciiTheme="minorEastAsia" w:hAnsiTheme="minorEastAsia" w:cstheme="minorEastAsia"/>
          <w:sz w:val="21"/>
          <w:szCs w:val="21"/>
          <w:lang w:val="en-US" w:eastAsia="zh-CN"/>
        </w:rPr>
        <w:t xml:space="preserve">  </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B．政权组织形式是多种因素综合作用的结果</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rPr>
        <w:t>C．国家是阶级矛盾不可调和的产物和表现</w:t>
      </w:r>
      <w:r>
        <w:rPr>
          <w:rFonts w:hint="eastAsia" w:asciiTheme="minorEastAsia" w:hAnsiTheme="minorEastAsia" w:cstheme="minorEastAsia"/>
          <w:sz w:val="21"/>
          <w:szCs w:val="21"/>
          <w:lang w:val="en-US" w:eastAsia="zh-CN"/>
        </w:rPr>
        <w:t xml:space="preserve">    </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D．利益集团无法从根本上解决不同阶级间的矛盾</w:t>
      </w:r>
    </w:p>
    <w:p>
      <w:pPr>
        <w:keepNext w:val="0"/>
        <w:keepLines w:val="0"/>
        <w:pageBreakBefore w:val="0"/>
        <w:widowControl w:val="0"/>
        <w:shd w:val="clear" w:color="auto" w:fill="FFFFFF"/>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FF0000"/>
          <w:sz w:val="21"/>
          <w:szCs w:val="21"/>
          <w:lang w:val="en-US" w:eastAsia="zh-CN"/>
        </w:rPr>
        <w:t>14、</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我国外交政策</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sz w:val="21"/>
          <w:szCs w:val="21"/>
        </w:rPr>
        <w:t>2023年4月28日，中国驻日本大使在日本记者俱乐部发表演讲期间，有记者问及福岛核污染水排海问题，中国驻日本大使指出，中方在这一问题上的态度是明确的，那就是坚决反对日方将核污染水排海。日方应正视国内外强烈反对声音，诚实履行国际义务，以最安全、最稳妥的方式处理核污染水。材料表明</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A．中国积极寻求两国的共同利益，有效管控两国分歧</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B．中国在国际事务中坚持正义，自主决定自己的态度</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C．中国成为维护全球秩序的主导力量，展现大国担当</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D．中国始终坚持合作共赢的理念，国际地位日益提高</w:t>
      </w:r>
    </w:p>
    <w:p>
      <w:pPr>
        <w:keepNext w:val="0"/>
        <w:keepLines w:val="0"/>
        <w:pageBreakBefore w:val="0"/>
        <w:widowControl w:val="0"/>
        <w:shd w:val="clear" w:color="auto" w:fill="FFFFFF"/>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FF0000"/>
          <w:sz w:val="21"/>
          <w:szCs w:val="21"/>
          <w:lang w:val="en-US" w:eastAsia="zh-CN"/>
        </w:rPr>
        <w:t>15、</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国家结构形式、一国两制）</w:t>
      </w:r>
      <w:r>
        <w:rPr>
          <w:rFonts w:hint="eastAsia" w:asciiTheme="minorEastAsia" w:hAnsiTheme="minorEastAsia" w:eastAsiaTheme="minorEastAsia" w:cstheme="minorEastAsia"/>
          <w:sz w:val="21"/>
          <w:szCs w:val="21"/>
        </w:rPr>
        <w:t>十三届全国人大常委会第三十八次会议表决通过了《全国人民代表大会常务委员会关于〈中华人民共和国香港特别行政区维护国家安全法〉第十四条和第四十七条的解释》，指出“不具有香港特别行政区全面执业资格的海外律师担任危害国家安全犯罪案件的辩护人或者诉讼代理人，应当取得行政长官发出的证明书”。人大释法体现</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A．采用何种国家结构形式是多种因素综合作用的结果</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B．香港特别行政区政府权力是其自身作为政治实体所固有的</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C．人民代表大会制度保证了国家机关的协调高效运转</w:t>
      </w:r>
    </w:p>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D．中央全面管治权和保障特别行政区高度自治权统一</w:t>
      </w:r>
    </w:p>
    <w:p>
      <w:pPr>
        <w:keepNext w:val="0"/>
        <w:keepLines w:val="0"/>
        <w:pageBreakBefore w:val="0"/>
        <w:widowControl w:val="0"/>
        <w:kinsoku/>
        <w:wordWrap/>
        <w:overflowPunct/>
        <w:topLinePunct w:val="0"/>
        <w:autoSpaceDE/>
        <w:autoSpaceDN/>
        <w:bidi w:val="0"/>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二、非选择题：共6 题，共55分 。</w:t>
      </w:r>
    </w:p>
    <w:p>
      <w:pPr>
        <w:keepNext w:val="0"/>
        <w:keepLines w:val="0"/>
        <w:pageBreakBefore w:val="0"/>
        <w:widowControl w:val="0"/>
        <w:shd w:val="clear" w:color="auto" w:fill="FFFFFF"/>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FF0000"/>
          <w:sz w:val="21"/>
          <w:szCs w:val="21"/>
          <w:lang w:val="en-US" w:eastAsia="zh-CN"/>
        </w:rPr>
        <w:t>16、</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社会主义民主政治优势</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sz w:val="21"/>
          <w:szCs w:val="21"/>
        </w:rPr>
        <w:t>阅读材料，完成下列要求。</w:t>
      </w:r>
    </w:p>
    <w:p>
      <w:pPr>
        <w:keepNext w:val="0"/>
        <w:keepLines w:val="0"/>
        <w:pageBreakBefore w:val="0"/>
        <w:widowControl w:val="0"/>
        <w:shd w:val="clear" w:color="auto" w:fill="FFFFFF"/>
        <w:kinsoku/>
        <w:wordWrap/>
        <w:overflowPunct/>
        <w:topLinePunct w:val="0"/>
        <w:autoSpaceDE/>
        <w:autoSpaceDN/>
        <w:bidi w:val="0"/>
        <w:spacing w:line="400" w:lineRule="exact"/>
        <w:ind w:firstLine="42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近年来，浙江省积极落实中央有关促进共同富裕的战略部署，坚持以高质量发展建设共同富裕示范区为总牵引，用好“金字招牌”，扛起政治责任，通过共同奋斗把“蛋糕”做大做好，通过制度安排把“蛋糕”切好分好。</w:t>
      </w:r>
    </w:p>
    <w:p>
      <w:pPr>
        <w:keepNext w:val="0"/>
        <w:keepLines w:val="0"/>
        <w:pageBreakBefore w:val="0"/>
        <w:widowControl w:val="0"/>
        <w:shd w:val="clear" w:color="auto" w:fill="FFFFFF"/>
        <w:kinsoku/>
        <w:wordWrap/>
        <w:overflowPunct/>
        <w:topLinePunct w:val="0"/>
        <w:autoSpaceDE/>
        <w:autoSpaceDN/>
        <w:bidi w:val="0"/>
        <w:spacing w:line="400" w:lineRule="exact"/>
        <w:ind w:firstLine="42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浙江省人大制定了《高质量发展建设共同富裕示范区促进条例》，各级政府加强部署落实，以推进共同富裕为总抓手撬动各领域改革；省政协把共同富裕纳入重点履职课题，深入全省多地开展专题调研，面向社会开展“我为高质量发展建设共同富裕示范区建一言”活动，组织全省各级政协委员开展网络主题议政，共有2.1万多名委员和界别群众参与，提出意见建议3万余条；社区作为参与的基层组织者，省各地社区将治安综合治理、社会矛盾的化解以及优秀传统文化融入基层社区治理。</w:t>
      </w:r>
    </w:p>
    <w:p>
      <w:pPr>
        <w:keepNext w:val="0"/>
        <w:keepLines w:val="0"/>
        <w:pageBreakBefore w:val="0"/>
        <w:widowControl w:val="0"/>
        <w:shd w:val="clear" w:color="auto" w:fill="FFFFFF"/>
        <w:kinsoku/>
        <w:wordWrap/>
        <w:overflowPunct/>
        <w:topLinePunct w:val="0"/>
        <w:autoSpaceDE/>
        <w:autoSpaceDN/>
        <w:bidi w:val="0"/>
        <w:spacing w:line="400" w:lineRule="exact"/>
        <w:ind w:firstLine="422" w:firstLineChars="200"/>
        <w:jc w:val="left"/>
        <w:textAlignment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浙江省推进共同富裕示范区建设彰显了社会主义民主政治的优势。结合材料，运用</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政治与法治</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的</w:t>
      </w:r>
      <w:r>
        <w:rPr>
          <w:rFonts w:hint="eastAsia" w:asciiTheme="minorEastAsia" w:hAnsiTheme="minorEastAsia" w:eastAsiaTheme="minorEastAsia" w:cstheme="minorEastAsia"/>
          <w:b/>
          <w:bCs/>
          <w:sz w:val="21"/>
          <w:szCs w:val="21"/>
        </w:rPr>
        <w:t>知识加以说明。（10分）</w:t>
      </w:r>
    </w:p>
    <w:p>
      <w:pPr>
        <w:keepNext w:val="0"/>
        <w:keepLines w:val="0"/>
        <w:pageBreakBefore w:val="0"/>
        <w:widowControl w:val="0"/>
        <w:kinsoku/>
        <w:wordWrap/>
        <w:overflowPunct/>
        <w:topLinePunct w:val="0"/>
        <w:autoSpaceDE/>
        <w:autoSpaceDN/>
        <w:bidi w:val="0"/>
        <w:spacing w:line="400" w:lineRule="exact"/>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bCs w:val="0"/>
          <w:color w:val="FF0000"/>
          <w:sz w:val="21"/>
          <w:szCs w:val="21"/>
          <w:lang w:val="en-US" w:eastAsia="zh-CN"/>
        </w:rPr>
        <w:t>17、</w:t>
      </w:r>
      <w:r>
        <w:rPr>
          <w:rFonts w:hint="eastAsia" w:asciiTheme="minorEastAsia" w:hAnsiTheme="minorEastAsia" w:eastAsiaTheme="minorEastAsia" w:cstheme="minorEastAsia"/>
          <w:b/>
          <w:bCs w:val="0"/>
          <w:color w:val="FF0000"/>
          <w:sz w:val="21"/>
          <w:szCs w:val="21"/>
          <w:lang w:eastAsia="zh-CN"/>
        </w:rPr>
        <w:t>（</w:t>
      </w:r>
      <w:r>
        <w:rPr>
          <w:rFonts w:hint="eastAsia" w:asciiTheme="minorEastAsia" w:hAnsiTheme="minorEastAsia" w:eastAsiaTheme="minorEastAsia" w:cstheme="minorEastAsia"/>
          <w:b/>
          <w:bCs w:val="0"/>
          <w:color w:val="FF0000"/>
          <w:sz w:val="21"/>
          <w:szCs w:val="21"/>
          <w:lang w:val="en-US" w:eastAsia="zh-CN"/>
        </w:rPr>
        <w:t>依法治国</w:t>
      </w:r>
      <w:r>
        <w:rPr>
          <w:rFonts w:hint="eastAsia" w:asciiTheme="minorEastAsia" w:hAnsiTheme="minorEastAsia" w:eastAsiaTheme="minorEastAsia" w:cstheme="minorEastAsia"/>
          <w:b/>
          <w:bCs w:val="0"/>
          <w:color w:val="FF0000"/>
          <w:sz w:val="21"/>
          <w:szCs w:val="21"/>
          <w:lang w:eastAsia="zh-CN"/>
        </w:rPr>
        <w:t>）</w:t>
      </w:r>
      <w:r>
        <w:rPr>
          <w:rFonts w:hint="eastAsia" w:asciiTheme="minorEastAsia" w:hAnsiTheme="minorEastAsia" w:eastAsiaTheme="minorEastAsia" w:cstheme="minorEastAsia"/>
          <w:bCs/>
          <w:sz w:val="21"/>
          <w:szCs w:val="21"/>
        </w:rPr>
        <w:t>阅读材料，完成下列要求。</w:t>
      </w:r>
    </w:p>
    <w:p>
      <w:pPr>
        <w:keepNext w:val="0"/>
        <w:keepLines w:val="0"/>
        <w:pageBreakBefore w:val="0"/>
        <w:widowControl w:val="0"/>
        <w:kinsoku/>
        <w:wordWrap/>
        <w:overflowPunct/>
        <w:topLinePunct w:val="0"/>
        <w:autoSpaceDE/>
        <w:autoSpaceDN/>
        <w:bidi w:val="0"/>
        <w:spacing w:line="400" w:lineRule="exact"/>
        <w:ind w:firstLine="420" w:firstLineChars="200"/>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周某居住于湖南省长沙市岳麓区某小区，楼下每晚都有人跳广场舞，音响器材发出的噪声影响了周某的平静生活。周某拨打110报警，长沙市某公安分局下辖的派出所随即派员到达现场。处警民警制作了接处警案（事）件登记表，建议周某去环保部门申请鉴定。半年内周某又多次到该派出所要求其对广场舞噪音扰民行为进行处理。此后，该派出所民警多次到现场劝说跳舞居民将音响音量调小，并对周边居民进行了调查走访，与当地社区干部一起召集跳广场舞的居民进行了协商，但未果。</w:t>
      </w:r>
    </w:p>
    <w:p>
      <w:pPr>
        <w:keepNext w:val="0"/>
        <w:keepLines w:val="0"/>
        <w:pageBreakBefore w:val="0"/>
        <w:widowControl w:val="0"/>
        <w:kinsoku/>
        <w:wordWrap/>
        <w:overflowPunct/>
        <w:topLinePunct w:val="0"/>
        <w:autoSpaceDE/>
        <w:autoSpaceDN/>
        <w:bidi w:val="0"/>
        <w:spacing w:line="400" w:lineRule="exact"/>
        <w:ind w:firstLine="420" w:firstLineChars="200"/>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周某对此不满，诉至湖南省长沙市岳麓区人民法院，请求确认某公安分局行政不作为并责令其在一定期限内依法履行法定职责。</w:t>
      </w:r>
    </w:p>
    <w:p>
      <w:pPr>
        <w:keepNext w:val="0"/>
        <w:keepLines w:val="0"/>
        <w:pageBreakBefore w:val="0"/>
        <w:widowControl w:val="0"/>
        <w:kinsoku/>
        <w:wordWrap/>
        <w:overflowPunct/>
        <w:topLinePunct w:val="0"/>
        <w:autoSpaceDE/>
        <w:autoSpaceDN/>
        <w:bidi w:val="0"/>
        <w:spacing w:line="400" w:lineRule="exact"/>
        <w:ind w:firstLine="420" w:firstLineChars="200"/>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湖南省长沙市岳麓区人民法院经审理认为，被告在受理原告的报警后的半年时间里，虽然做了调查走访、劝说协调工作，但对于噪声扰民行为是否存在违法事项，是否需要处罚等实质问题一直没有作出处理决定，应当认定被告系拖延履行法定职责。故判决：责令被告某公安分局按照《公安机关办理行政案件程序规定》的相关规定对原告周某的报案作出处理。</w:t>
      </w:r>
    </w:p>
    <w:p>
      <w:pPr>
        <w:keepNext w:val="0"/>
        <w:keepLines w:val="0"/>
        <w:pageBreakBefore w:val="0"/>
        <w:widowControl w:val="0"/>
        <w:kinsoku/>
        <w:wordWrap/>
        <w:overflowPunct/>
        <w:topLinePunct w:val="0"/>
        <w:autoSpaceDE/>
        <w:autoSpaceDN/>
        <w:bidi w:val="0"/>
        <w:spacing w:line="400" w:lineRule="exact"/>
        <w:ind w:firstLine="422" w:firstLineChars="200"/>
        <w:textAlignment w:val="center"/>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根据本案，运用</w:t>
      </w:r>
      <w:r>
        <w:rPr>
          <w:rFonts w:hint="eastAsia" w:asciiTheme="minorEastAsia" w:hAnsiTheme="minorEastAsia" w:eastAsiaTheme="minorEastAsia" w:cstheme="minorEastAsia"/>
          <w:b/>
          <w:bCs w:val="0"/>
          <w:sz w:val="21"/>
          <w:szCs w:val="21"/>
          <w:lang w:eastAsia="zh-CN"/>
        </w:rPr>
        <w:t>《</w:t>
      </w:r>
      <w:r>
        <w:rPr>
          <w:rFonts w:hint="eastAsia" w:asciiTheme="minorEastAsia" w:hAnsiTheme="minorEastAsia" w:eastAsiaTheme="minorEastAsia" w:cstheme="minorEastAsia"/>
          <w:b/>
          <w:bCs w:val="0"/>
          <w:sz w:val="21"/>
          <w:szCs w:val="21"/>
          <w:lang w:val="en-US" w:eastAsia="zh-CN"/>
        </w:rPr>
        <w:t>政治与法治</w:t>
      </w:r>
      <w:r>
        <w:rPr>
          <w:rFonts w:hint="eastAsia" w:asciiTheme="minorEastAsia" w:hAnsiTheme="minorEastAsia" w:eastAsiaTheme="minorEastAsia" w:cstheme="minorEastAsia"/>
          <w:b/>
          <w:bCs w:val="0"/>
          <w:sz w:val="21"/>
          <w:szCs w:val="21"/>
          <w:lang w:eastAsia="zh-CN"/>
        </w:rPr>
        <w:t>》</w:t>
      </w:r>
      <w:r>
        <w:rPr>
          <w:rFonts w:hint="eastAsia" w:asciiTheme="minorEastAsia" w:hAnsiTheme="minorEastAsia" w:eastAsiaTheme="minorEastAsia" w:cstheme="minorEastAsia"/>
          <w:b/>
          <w:bCs w:val="0"/>
          <w:sz w:val="21"/>
          <w:szCs w:val="21"/>
          <w:lang w:val="en-US" w:eastAsia="zh-CN"/>
        </w:rPr>
        <w:t>的</w:t>
      </w:r>
      <w:r>
        <w:rPr>
          <w:rFonts w:hint="eastAsia" w:asciiTheme="minorEastAsia" w:hAnsiTheme="minorEastAsia" w:eastAsiaTheme="minorEastAsia" w:cstheme="minorEastAsia"/>
          <w:b/>
          <w:bCs w:val="0"/>
          <w:sz w:val="21"/>
          <w:szCs w:val="21"/>
        </w:rPr>
        <w:t>知识</w:t>
      </w:r>
      <w:r>
        <w:rPr>
          <w:rFonts w:hint="eastAsia" w:asciiTheme="minorEastAsia" w:hAnsiTheme="minorEastAsia" w:eastAsiaTheme="minorEastAsia" w:cstheme="minorEastAsia"/>
          <w:b/>
          <w:bCs w:val="0"/>
          <w:sz w:val="21"/>
          <w:szCs w:val="21"/>
          <w:lang w:eastAsia="zh-CN"/>
        </w:rPr>
        <w:t>，</w:t>
      </w:r>
      <w:r>
        <w:rPr>
          <w:rFonts w:hint="eastAsia" w:asciiTheme="minorEastAsia" w:hAnsiTheme="minorEastAsia" w:eastAsiaTheme="minorEastAsia" w:cstheme="minorEastAsia"/>
          <w:b/>
          <w:bCs w:val="0"/>
          <w:sz w:val="21"/>
          <w:szCs w:val="21"/>
        </w:rPr>
        <w:t>对如何全面推进依法治国提出合理化建议。（</w:t>
      </w:r>
      <w:r>
        <w:rPr>
          <w:rFonts w:hint="eastAsia" w:asciiTheme="minorEastAsia" w:hAnsiTheme="minorEastAsia" w:eastAsiaTheme="minorEastAsia" w:cstheme="minorEastAsia"/>
          <w:b/>
          <w:bCs w:val="0"/>
          <w:sz w:val="21"/>
          <w:szCs w:val="21"/>
          <w:lang w:val="en-US" w:eastAsia="zh-CN"/>
        </w:rPr>
        <w:t>9</w:t>
      </w:r>
      <w:r>
        <w:rPr>
          <w:rFonts w:hint="eastAsia" w:asciiTheme="minorEastAsia" w:hAnsiTheme="minorEastAsia" w:eastAsiaTheme="minorEastAsia" w:cstheme="minorEastAsia"/>
          <w:b/>
          <w:bCs w:val="0"/>
          <w:sz w:val="21"/>
          <w:szCs w:val="21"/>
        </w:rPr>
        <w:t>分）</w:t>
      </w:r>
    </w:p>
    <w:p>
      <w:pPr>
        <w:keepNext w:val="0"/>
        <w:keepLines w:val="0"/>
        <w:pageBreakBefore w:val="0"/>
        <w:widowControl w:val="0"/>
        <w:shd w:val="clear" w:color="auto" w:fill="FFFFFF"/>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FF0000"/>
          <w:sz w:val="21"/>
          <w:szCs w:val="21"/>
          <w:lang w:val="en-US" w:eastAsia="zh-CN"/>
        </w:rPr>
        <w:t>18、（辩证唯物论）</w:t>
      </w:r>
      <w:r>
        <w:rPr>
          <w:rFonts w:hint="eastAsia" w:asciiTheme="minorEastAsia" w:hAnsiTheme="minorEastAsia" w:eastAsiaTheme="minorEastAsia" w:cstheme="minorEastAsia"/>
          <w:sz w:val="21"/>
          <w:szCs w:val="21"/>
        </w:rPr>
        <w:t>一段时间以来，电影《流浪地球》系列、《独行月球》和电视剧《三体》等一批改编类科幻作品纷纷亮相，科幻场景既充满未来感，又兼具真实可信的细节，反映出我国科幻文艺良好的发展态势。</w:t>
      </w:r>
    </w:p>
    <w:p>
      <w:pPr>
        <w:keepNext w:val="0"/>
        <w:keepLines w:val="0"/>
        <w:pageBreakBefore w:val="0"/>
        <w:widowControl w:val="0"/>
        <w:shd w:val="clear" w:color="auto" w:fill="FFFFFF"/>
        <w:kinsoku/>
        <w:wordWrap/>
        <w:overflowPunct/>
        <w:topLinePunct w:val="0"/>
        <w:autoSpaceDE/>
        <w:autoSpaceDN/>
        <w:bidi w:val="0"/>
        <w:spacing w:line="400" w:lineRule="exact"/>
        <w:ind w:firstLine="42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幻基于我们今天的生活和科技，想象人类未来，未来世界是什么样子？接近观众认知，是科幻影视的一大难点。科幻影视要将观众熟悉的、认可的、可辨识的科学元素融入创作，向观众提供一条可以进入作品的路径。“科影融合”正是铺就这条道路的必备条件。</w:t>
      </w:r>
    </w:p>
    <w:p>
      <w:pPr>
        <w:keepNext w:val="0"/>
        <w:keepLines w:val="0"/>
        <w:pageBreakBefore w:val="0"/>
        <w:widowControl w:val="0"/>
        <w:shd w:val="clear" w:color="auto" w:fill="FFFFFF"/>
        <w:kinsoku/>
        <w:wordWrap/>
        <w:overflowPunct/>
        <w:topLinePunct w:val="0"/>
        <w:autoSpaceDE/>
        <w:autoSpaceDN/>
        <w:bidi w:val="0"/>
        <w:spacing w:line="400" w:lineRule="exact"/>
        <w:ind w:firstLine="42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目前，中国科幻影视改编已在科影融合上有了不少探索。一是内容赋能，各领域科学家受邀担任科学顾问，参与到创作中来，审慎提出专业意见，使作品的科学设定更扎实、故事更真实。二是技术赋能，推动转化科研领域最新成果，帮助影视行业应用新技术进行创作，助力我国影视工业体系建设。说到底，科幻创作、科幻改编都需要科学作为基础。随着我国科技快速发展，公民科学素养不断提高，期待我们的科幻作品在讲好中国故事、传播好中国声音上实现新的突破。</w:t>
      </w:r>
    </w:p>
    <w:p>
      <w:pPr>
        <w:keepNext w:val="0"/>
        <w:keepLines w:val="0"/>
        <w:pageBreakBefore w:val="0"/>
        <w:widowControl w:val="0"/>
        <w:shd w:val="clear" w:color="auto" w:fill="FFFFFF"/>
        <w:kinsoku/>
        <w:wordWrap/>
        <w:overflowPunct/>
        <w:topLinePunct w:val="0"/>
        <w:autoSpaceDE/>
        <w:autoSpaceDN/>
        <w:bidi w:val="0"/>
        <w:spacing w:line="400" w:lineRule="exact"/>
        <w:ind w:firstLine="422" w:firstLineChars="200"/>
        <w:jc w:val="left"/>
        <w:textAlignment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有人说，科幻作品只要对客观现实进行能动的改造，就能讲好中国故事。请从辩证唯物论</w:t>
      </w:r>
      <w:r>
        <w:rPr>
          <w:rFonts w:hint="eastAsia" w:asciiTheme="minorEastAsia" w:hAnsiTheme="minorEastAsia" w:cstheme="minorEastAsia"/>
          <w:b/>
          <w:bCs/>
          <w:sz w:val="21"/>
          <w:szCs w:val="21"/>
          <w:lang w:val="en-US" w:eastAsia="zh-CN"/>
        </w:rPr>
        <w:t>的</w:t>
      </w:r>
      <w:r>
        <w:rPr>
          <w:rFonts w:hint="eastAsia" w:asciiTheme="minorEastAsia" w:hAnsiTheme="minorEastAsia" w:eastAsiaTheme="minorEastAsia" w:cstheme="minorEastAsia"/>
          <w:b/>
          <w:bCs/>
          <w:sz w:val="21"/>
          <w:szCs w:val="21"/>
        </w:rPr>
        <w:t>角度评析这一观点。（</w:t>
      </w:r>
      <w:r>
        <w:rPr>
          <w:rFonts w:hint="eastAsia" w:asciiTheme="minorEastAsia" w:hAnsiTheme="minorEastAsia" w:eastAsiaTheme="minorEastAsia" w:cstheme="minorEastAsia"/>
          <w:b/>
          <w:bCs/>
          <w:sz w:val="21"/>
          <w:szCs w:val="21"/>
          <w:lang w:val="en-US" w:eastAsia="zh-CN"/>
        </w:rPr>
        <w:t>9</w:t>
      </w:r>
      <w:r>
        <w:rPr>
          <w:rFonts w:hint="eastAsia" w:asciiTheme="minorEastAsia" w:hAnsiTheme="minorEastAsia" w:eastAsiaTheme="minorEastAsia" w:cstheme="minorEastAsia"/>
          <w:b/>
          <w:bCs/>
          <w:sz w:val="21"/>
          <w:szCs w:val="21"/>
        </w:rPr>
        <w:t>分）</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FF0000"/>
          <w:sz w:val="21"/>
          <w:szCs w:val="21"/>
          <w:lang w:val="en-US" w:eastAsia="zh-CN"/>
        </w:rPr>
        <w:t>19、</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文化自信</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sz w:val="21"/>
          <w:szCs w:val="21"/>
        </w:rPr>
        <w:t>二十大报告指出，“全面建设社会主义现代化国家，必须坚持中国特色社会主义文化发展道路，增强文化自信，围绕举旗帜、聚民心、育新人、兴文化、展形象建设社会主义文化强国。” 这为发展非遗产业指明了前进方向，提出了更高要求。</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月22日，2023长三角地区非遗文创产品展在上海虹桥世界中心开幕。栩栩如生的金蟾、小巧精致的银壶、紫光檀嵌银丝书签……各种做工精致的非遗文创工艺品琳琅满目，充分呈现了民间非遗文创产业发展的丰硕成果。近年来，非遗文创产品频频“出圈出彩”，让非物质文化遗产以看得见、摸得着、用得到的方式走近百姓，屡屡掀起消费热潮。不少地区加快推进“非遗+”产业发展新模式，打造非遗文创集市，为非遗产品搭建线上线下展示、销售平台，让非遗文创产品火起来、洋起来，也收获了海外消费者的喜爱。</w:t>
      </w:r>
    </w:p>
    <w:p>
      <w:pPr>
        <w:keepNext w:val="0"/>
        <w:keepLines w:val="0"/>
        <w:pageBreakBefore w:val="0"/>
        <w:widowControl w:val="0"/>
        <w:kinsoku/>
        <w:wordWrap/>
        <w:overflowPunct/>
        <w:topLinePunct w:val="0"/>
        <w:autoSpaceDE/>
        <w:autoSpaceDN/>
        <w:bidi w:val="0"/>
        <w:spacing w:line="40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结合材料，运用“文化传承与文化创新”的知识说明发展非遗文创产业对增强文化自信的意义。（9分）</w:t>
      </w:r>
    </w:p>
    <w:p>
      <w:pPr>
        <w:keepNext w:val="0"/>
        <w:keepLines w:val="0"/>
        <w:pageBreakBefore w:val="0"/>
        <w:widowControl w:val="0"/>
        <w:shd w:val="clear" w:color="auto" w:fill="FFFFFF"/>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FF0000"/>
          <w:sz w:val="21"/>
          <w:szCs w:val="21"/>
          <w:lang w:val="en-US" w:eastAsia="zh-CN"/>
        </w:rPr>
        <w:t>20、</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lang w:val="en-US" w:eastAsia="zh-CN"/>
        </w:rPr>
        <w:t>时代主题、主权、我国外交政策、人类命运共同体</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sz w:val="21"/>
          <w:szCs w:val="21"/>
        </w:rPr>
        <w:t>阅读材料，回答问题。</w:t>
      </w:r>
    </w:p>
    <w:p>
      <w:pPr>
        <w:keepNext w:val="0"/>
        <w:keepLines w:val="0"/>
        <w:pageBreakBefore w:val="0"/>
        <w:widowControl w:val="0"/>
        <w:shd w:val="clear" w:color="auto" w:fill="FFFFFF"/>
        <w:kinsoku/>
        <w:wordWrap/>
        <w:overflowPunct/>
        <w:topLinePunct w:val="0"/>
        <w:autoSpaceDE/>
        <w:autoSpaceDN/>
        <w:bidi w:val="0"/>
        <w:spacing w:line="40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伊朗与沙特是中东地区两大重要国家，受宗教、地缘政治等因素影响，双方长期矛盾尖锐。中国向来是促进中东和平与发展的重要建设性力量，与沙伊两国维持着全面战略伙伴关系。中国提出“全球安全倡议”，为中东和平安全积极奔走。</w:t>
      </w:r>
    </w:p>
    <w:p>
      <w:pPr>
        <w:keepNext w:val="0"/>
        <w:keepLines w:val="0"/>
        <w:pageBreakBefore w:val="0"/>
        <w:widowControl w:val="0"/>
        <w:shd w:val="clear" w:color="auto" w:fill="FFFFFF"/>
        <w:kinsoku/>
        <w:wordWrap/>
        <w:overflowPunct/>
        <w:topLinePunct w:val="0"/>
        <w:autoSpaceDE/>
        <w:autoSpaceDN/>
        <w:bidi w:val="0"/>
        <w:spacing w:line="400" w:lineRule="exact"/>
        <w:ind w:firstLine="42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2023年3月10日，沙伊两国在中国的斡旋下达成了“北京和解”，宣布沙伊双方同意恢复外交关系。沙伊复交将在中东产生巨大的示范效应，为世界和平稳定与全球安全治理注入了新能量。国际社会对此次三方会谈成果表示热烈欢迎，同时也表达了对中国的感谢。联合国方面表示，中国促成沙伊复交，为实现中东地区和平稳定打开了道路，也为通过对话协商化解国家间矛盾树立了典范。</w:t>
      </w:r>
    </w:p>
    <w:p>
      <w:pPr>
        <w:keepNext w:val="0"/>
        <w:keepLines w:val="0"/>
        <w:pageBreakBefore w:val="0"/>
        <w:widowControl w:val="0"/>
        <w:shd w:val="clear" w:color="auto" w:fill="FFFFFF"/>
        <w:kinsoku/>
        <w:wordWrap/>
        <w:overflowPunct/>
        <w:topLinePunct w:val="0"/>
        <w:autoSpaceDE/>
        <w:autoSpaceDN/>
        <w:bidi w:val="0"/>
        <w:spacing w:line="400" w:lineRule="exact"/>
        <w:ind w:firstLine="422"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沙伊双方同意恢复外交关系，是中国外交的成功。结合材料，运用《当代国际政治与经济》的知识说明中国为什么能够促成沙伊两国同意恢复外交关系。（</w:t>
      </w:r>
      <w:r>
        <w:rPr>
          <w:rFonts w:hint="eastAsia" w:asciiTheme="minorEastAsia" w:hAnsiTheme="minorEastAsia" w:eastAsiaTheme="minorEastAsia" w:cstheme="minorEastAsia"/>
          <w:b/>
          <w:bCs/>
          <w:sz w:val="21"/>
          <w:szCs w:val="21"/>
          <w:lang w:val="en-US" w:eastAsia="zh-CN"/>
        </w:rPr>
        <w:t>10</w:t>
      </w:r>
      <w:r>
        <w:rPr>
          <w:rFonts w:hint="eastAsia" w:asciiTheme="minorEastAsia" w:hAnsiTheme="minorEastAsia" w:eastAsiaTheme="minorEastAsia" w:cstheme="minorEastAsia"/>
          <w:b/>
          <w:bCs/>
          <w:sz w:val="21"/>
          <w:szCs w:val="21"/>
        </w:rPr>
        <w:t>分）</w:t>
      </w:r>
    </w:p>
    <w:p>
      <w:pPr>
        <w:keepNext w:val="0"/>
        <w:keepLines w:val="0"/>
        <w:pageBreakBefore w:val="0"/>
        <w:widowControl w:val="0"/>
        <w:shd w:val="clear" w:color="auto" w:fill="FFFFFF"/>
        <w:kinsoku/>
        <w:wordWrap/>
        <w:overflowPunct/>
        <w:topLinePunct w:val="0"/>
        <w:autoSpaceDE/>
        <w:autoSpaceDN/>
        <w:bidi w:val="0"/>
        <w:spacing w:line="40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FF0000"/>
          <w:sz w:val="21"/>
          <w:szCs w:val="21"/>
          <w:lang w:val="en-US" w:eastAsia="zh-CN"/>
        </w:rPr>
        <w:t>21、（经济全球化）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1</w:t>
      </w:r>
      <w:bookmarkStart w:id="2" w:name="_Hlk146307319"/>
      <w:r>
        <w:rPr>
          <w:rFonts w:hint="eastAsia" w:asciiTheme="minorEastAsia" w:hAnsiTheme="minorEastAsia" w:eastAsiaTheme="minorEastAsia" w:cstheme="minorEastAsia"/>
          <w:sz w:val="21"/>
          <w:szCs w:val="21"/>
        </w:rPr>
        <w:t>．阅读以下材料，回答问题：</w:t>
      </w:r>
    </w:p>
    <w:bookmarkEnd w:id="2"/>
    <w:p>
      <w:pPr>
        <w:keepNext w:val="0"/>
        <w:keepLines w:val="0"/>
        <w:pageBreakBefore w:val="0"/>
        <w:widowControl w:val="0"/>
        <w:shd w:val="clear" w:color="auto" w:fill="FFFFFF"/>
        <w:kinsoku/>
        <w:wordWrap/>
        <w:overflowPunct/>
        <w:topLinePunct w:val="0"/>
        <w:autoSpaceDE/>
        <w:autoSpaceDN/>
        <w:bidi w:val="0"/>
        <w:spacing w:line="400" w:lineRule="exact"/>
        <w:ind w:firstLine="210"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用一个关键词来描述当前世界经济的主要特点，可能最合适的是“全球通胀”。乌克兰危机、疫情冲击和大国博弈等世界秩序中的动荡因素对全球通胀起了推波助澜的作用，各国经济都被全球通胀所扰动，许多主要经济体也都在探索如何治理通胀，而通胀和各国对通胀的应对又引发了新的世界经济动荡。面对危机与挑战，各国政府各有作为。</w:t>
      </w:r>
    </w:p>
    <w:p>
      <w:pPr>
        <w:keepNext w:val="0"/>
        <w:keepLines w:val="0"/>
        <w:pageBreakBefore w:val="0"/>
        <w:widowControl w:val="0"/>
        <w:shd w:val="clear" w:color="auto" w:fill="FFFFFF"/>
        <w:kinsoku/>
        <w:wordWrap/>
        <w:overflowPunct/>
        <w:topLinePunct w:val="0"/>
        <w:autoSpaceDE/>
        <w:autoSpaceDN/>
        <w:bidi w:val="0"/>
        <w:spacing w:line="400" w:lineRule="exact"/>
        <w:ind w:firstLine="422" w:firstLineChars="200"/>
        <w:jc w:val="left"/>
        <w:textAlignment w:val="center"/>
        <w:rPr>
          <w:rFonts w:hint="eastAsia" w:asciiTheme="minorEastAsia" w:hAnsiTheme="minorEastAsia" w:eastAsiaTheme="minorEastAsia" w:cstheme="minorEastAsia"/>
          <w:b/>
          <w:bCs/>
          <w:sz w:val="21"/>
          <w:szCs w:val="21"/>
          <w:lang w:val="en-US" w:eastAsia="zh-CN"/>
        </w:rPr>
      </w:pPr>
      <w:bookmarkStart w:id="3" w:name="_GoBack"/>
      <w:bookmarkEnd w:id="3"/>
      <w:r>
        <w:rPr>
          <w:rFonts w:hint="eastAsia" w:asciiTheme="minorEastAsia" w:hAnsiTheme="minorEastAsia" w:eastAsiaTheme="minorEastAsia" w:cstheme="minorEastAsia"/>
          <w:b/>
          <w:bCs/>
          <w:sz w:val="21"/>
          <w:szCs w:val="21"/>
        </w:rPr>
        <w:t>运用《国际政治与经济》的相关知识，谈谈你对于全球通胀危机的看法。</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8分）</w:t>
      </w:r>
    </w:p>
    <w:p>
      <w:pPr>
        <w:keepNext w:val="0"/>
        <w:keepLines w:val="0"/>
        <w:pageBreakBefore w:val="0"/>
        <w:widowControl w:val="0"/>
        <w:kinsoku/>
        <w:wordWrap/>
        <w:overflowPunct/>
        <w:topLinePunct w:val="0"/>
        <w:autoSpaceDE/>
        <w:autoSpaceDN/>
        <w:bidi w:val="0"/>
        <w:spacing w:line="400" w:lineRule="exact"/>
        <w:rPr>
          <w:rFonts w:hint="eastAsia" w:asciiTheme="minorEastAsia" w:hAnsiTheme="minorEastAsia" w:eastAsiaTheme="minorEastAsia" w:cstheme="minorEastAsia"/>
          <w:sz w:val="21"/>
          <w:szCs w:val="21"/>
        </w:rPr>
      </w:pPr>
    </w:p>
    <w:sectPr>
      <w:footerReference r:id="rId3" w:type="default"/>
      <w:pgSz w:w="10431" w:h="1474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660654"/>
    <w:multiLevelType w:val="singleLevel"/>
    <w:tmpl w:val="B2660654"/>
    <w:lvl w:ilvl="0" w:tentative="0">
      <w:start w:val="1"/>
      <w:numFmt w:val="upperLetter"/>
      <w:suff w:val="nothing"/>
      <w:lvlText w:val="%1．"/>
      <w:lvlJc w:val="left"/>
    </w:lvl>
  </w:abstractNum>
  <w:abstractNum w:abstractNumId="1">
    <w:nsid w:val="E345724F"/>
    <w:multiLevelType w:val="singleLevel"/>
    <w:tmpl w:val="E345724F"/>
    <w:lvl w:ilvl="0" w:tentative="0">
      <w:start w:val="1"/>
      <w:numFmt w:val="upperLetter"/>
      <w:suff w:val="nothing"/>
      <w:lvlText w:val="%1．"/>
      <w:lvlJc w:val="left"/>
    </w:lvl>
  </w:abstractNum>
  <w:abstractNum w:abstractNumId="2">
    <w:nsid w:val="5B6CD3E9"/>
    <w:multiLevelType w:val="singleLevel"/>
    <w:tmpl w:val="5B6CD3E9"/>
    <w:lvl w:ilvl="0" w:tentative="0">
      <w:start w:val="1"/>
      <w:numFmt w:val="upperLetter"/>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U2NDZlZWRhZGY1YzdjNGExMDUwNGJjODllMjkifQ=="/>
  </w:docVars>
  <w:rsids>
    <w:rsidRoot w:val="00000000"/>
    <w:rsid w:val="00867FFD"/>
    <w:rsid w:val="02C51E0D"/>
    <w:rsid w:val="0397607D"/>
    <w:rsid w:val="03DF6B6B"/>
    <w:rsid w:val="05412745"/>
    <w:rsid w:val="05861948"/>
    <w:rsid w:val="07AE539F"/>
    <w:rsid w:val="08E408B3"/>
    <w:rsid w:val="098350DA"/>
    <w:rsid w:val="0A8F7AAE"/>
    <w:rsid w:val="0AAF1EFF"/>
    <w:rsid w:val="0B8A4924"/>
    <w:rsid w:val="0DE97C66"/>
    <w:rsid w:val="0E3A7511"/>
    <w:rsid w:val="0F425EC4"/>
    <w:rsid w:val="100F3B6B"/>
    <w:rsid w:val="13133419"/>
    <w:rsid w:val="14904B4F"/>
    <w:rsid w:val="14DA7B5A"/>
    <w:rsid w:val="14F450DE"/>
    <w:rsid w:val="161E606B"/>
    <w:rsid w:val="18C13529"/>
    <w:rsid w:val="1B3E70B3"/>
    <w:rsid w:val="1C003EF1"/>
    <w:rsid w:val="1CB7361F"/>
    <w:rsid w:val="1EE77A61"/>
    <w:rsid w:val="1F321201"/>
    <w:rsid w:val="230C6615"/>
    <w:rsid w:val="23942212"/>
    <w:rsid w:val="2633362D"/>
    <w:rsid w:val="27FC457D"/>
    <w:rsid w:val="28156249"/>
    <w:rsid w:val="29A0651D"/>
    <w:rsid w:val="2C165FD6"/>
    <w:rsid w:val="2E89741E"/>
    <w:rsid w:val="2FC6078E"/>
    <w:rsid w:val="30C95219"/>
    <w:rsid w:val="30E233DD"/>
    <w:rsid w:val="31AF5092"/>
    <w:rsid w:val="328E04C8"/>
    <w:rsid w:val="33B61506"/>
    <w:rsid w:val="344C063B"/>
    <w:rsid w:val="34C91C8B"/>
    <w:rsid w:val="34DF64B0"/>
    <w:rsid w:val="35F50957"/>
    <w:rsid w:val="36322591"/>
    <w:rsid w:val="37981A74"/>
    <w:rsid w:val="39CD4783"/>
    <w:rsid w:val="3B9C1EA7"/>
    <w:rsid w:val="3BF55114"/>
    <w:rsid w:val="3CA54D8C"/>
    <w:rsid w:val="3E1A5306"/>
    <w:rsid w:val="3FB3156E"/>
    <w:rsid w:val="410244F3"/>
    <w:rsid w:val="41BD3590"/>
    <w:rsid w:val="41EF10A3"/>
    <w:rsid w:val="44204AD1"/>
    <w:rsid w:val="44C07C60"/>
    <w:rsid w:val="4813721D"/>
    <w:rsid w:val="481610BF"/>
    <w:rsid w:val="4A5B427F"/>
    <w:rsid w:val="4A9632A9"/>
    <w:rsid w:val="4B3317B5"/>
    <w:rsid w:val="4B54750C"/>
    <w:rsid w:val="4D617C4D"/>
    <w:rsid w:val="4D85718F"/>
    <w:rsid w:val="4E612ADD"/>
    <w:rsid w:val="53125B37"/>
    <w:rsid w:val="548411F4"/>
    <w:rsid w:val="57E56A3E"/>
    <w:rsid w:val="587F1243"/>
    <w:rsid w:val="5930611C"/>
    <w:rsid w:val="5F182D44"/>
    <w:rsid w:val="629F4BEA"/>
    <w:rsid w:val="62EB4323"/>
    <w:rsid w:val="66A456F9"/>
    <w:rsid w:val="66DB6DE2"/>
    <w:rsid w:val="67144738"/>
    <w:rsid w:val="6B46352D"/>
    <w:rsid w:val="6B8C03C7"/>
    <w:rsid w:val="6CAE6FC4"/>
    <w:rsid w:val="6CF9346B"/>
    <w:rsid w:val="6F101C89"/>
    <w:rsid w:val="6FC778CB"/>
    <w:rsid w:val="72FC4A45"/>
    <w:rsid w:val="73114665"/>
    <w:rsid w:val="73D30E24"/>
    <w:rsid w:val="75071439"/>
    <w:rsid w:val="75D25B12"/>
    <w:rsid w:val="773406C7"/>
    <w:rsid w:val="77487608"/>
    <w:rsid w:val="78C03031"/>
    <w:rsid w:val="792720A9"/>
    <w:rsid w:val="7C4D62FD"/>
    <w:rsid w:val="7DE80237"/>
    <w:rsid w:val="7E007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2023-09-26T01:06:00Z</dcterms:created>
  <dc:creator>1</dc:creator>
  <cp:lastModifiedBy>马晓艳</cp:lastModifiedBy>
  <cp:lastPrinted>2023-09-27T08:37:00Z</cp:lastPrinted>
  <dcterms:modified xsi:type="dcterms:W3CDTF">2023-09-27T12:57:47Z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F4980A74FC584BDDA16A78A3D896CD98_13</vt:lpwstr>
  </property>
</Properties>
</file>