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center"/>
        <w:rPr>
          <w:rFonts w:hint="eastAsia" w:asciiTheme="minorEastAsia" w:hAnsiTheme="minorEastAsia" w:eastAsiaTheme="minorEastAsia" w:cstheme="minorEastAsia"/>
          <w:b/>
          <w:bCs/>
          <w:i w:val="0"/>
          <w:iCs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b/>
          <w:bCs/>
          <w:i w:val="0"/>
          <w:iCs w:val="0"/>
          <w:caps w:val="0"/>
          <w:color w:val="333333"/>
          <w:spacing w:val="0"/>
          <w:sz w:val="24"/>
          <w:szCs w:val="24"/>
          <w:shd w:val="clear" w:fill="FFFFFF"/>
        </w:rPr>
        <w:t>南京市秦淮中学202</w:t>
      </w:r>
      <w:r>
        <w:rPr>
          <w:rFonts w:hint="eastAsia" w:asciiTheme="minorEastAsia" w:hAnsiTheme="minorEastAsia" w:cstheme="minorEastAsia"/>
          <w:b/>
          <w:bCs/>
          <w:i w:val="0"/>
          <w:iCs w:val="0"/>
          <w:caps w:val="0"/>
          <w:color w:val="333333"/>
          <w:spacing w:val="0"/>
          <w:sz w:val="24"/>
          <w:szCs w:val="24"/>
          <w:shd w:val="clear" w:fill="FFFFFF"/>
          <w:lang w:val="en-US" w:eastAsia="zh-CN"/>
        </w:rPr>
        <w:t>3</w:t>
      </w:r>
      <w:r>
        <w:rPr>
          <w:rFonts w:hint="eastAsia" w:asciiTheme="minorEastAsia" w:hAnsiTheme="minorEastAsia" w:eastAsiaTheme="minorEastAsia" w:cstheme="minorEastAsia"/>
          <w:b/>
          <w:bCs/>
          <w:i w:val="0"/>
          <w:iCs w:val="0"/>
          <w:caps w:val="0"/>
          <w:color w:val="333333"/>
          <w:spacing w:val="0"/>
          <w:sz w:val="24"/>
          <w:szCs w:val="24"/>
          <w:shd w:val="clear" w:fill="FFFFFF"/>
        </w:rPr>
        <w:t>-202</w:t>
      </w:r>
      <w:r>
        <w:rPr>
          <w:rFonts w:hint="eastAsia" w:asciiTheme="minorEastAsia" w:hAnsiTheme="minorEastAsia" w:cstheme="minorEastAsia"/>
          <w:b/>
          <w:bCs/>
          <w:i w:val="0"/>
          <w:iCs w:val="0"/>
          <w:caps w:val="0"/>
          <w:color w:val="333333"/>
          <w:spacing w:val="0"/>
          <w:sz w:val="24"/>
          <w:szCs w:val="24"/>
          <w:shd w:val="clear" w:fill="FFFFFF"/>
          <w:lang w:val="en-US" w:eastAsia="zh-CN"/>
        </w:rPr>
        <w:t>4</w:t>
      </w:r>
      <w:r>
        <w:rPr>
          <w:rFonts w:hint="eastAsia" w:asciiTheme="minorEastAsia" w:hAnsiTheme="minorEastAsia" w:eastAsiaTheme="minorEastAsia" w:cstheme="minorEastAsia"/>
          <w:b/>
          <w:bCs/>
          <w:i w:val="0"/>
          <w:iCs w:val="0"/>
          <w:caps w:val="0"/>
          <w:color w:val="333333"/>
          <w:spacing w:val="0"/>
          <w:sz w:val="24"/>
          <w:szCs w:val="24"/>
          <w:shd w:val="clear" w:fill="FFFFFF"/>
        </w:rPr>
        <w:t>学年度第一学期高三</w:t>
      </w:r>
      <w:r>
        <w:rPr>
          <w:rFonts w:hint="eastAsia" w:asciiTheme="minorEastAsia" w:hAnsiTheme="minorEastAsia" w:cstheme="minorEastAsia"/>
          <w:b/>
          <w:bCs/>
          <w:i w:val="0"/>
          <w:iCs w:val="0"/>
          <w:caps w:val="0"/>
          <w:color w:val="333333"/>
          <w:spacing w:val="0"/>
          <w:sz w:val="24"/>
          <w:szCs w:val="24"/>
          <w:shd w:val="clear" w:fill="FFFFFF"/>
          <w:lang w:val="en-US" w:eastAsia="zh-CN"/>
        </w:rPr>
        <w:t>政治</w:t>
      </w:r>
      <w:bookmarkStart w:id="0" w:name="_GoBack"/>
      <w:bookmarkEnd w:id="0"/>
      <w:r>
        <w:rPr>
          <w:rFonts w:hint="eastAsia" w:asciiTheme="minorEastAsia" w:hAnsiTheme="minorEastAsia" w:eastAsiaTheme="minorEastAsia" w:cstheme="minorEastAsia"/>
          <w:b/>
          <w:bCs/>
          <w:i w:val="0"/>
          <w:iCs w:val="0"/>
          <w:caps w:val="0"/>
          <w:color w:val="333333"/>
          <w:spacing w:val="0"/>
          <w:sz w:val="24"/>
          <w:szCs w:val="24"/>
          <w:shd w:val="clear" w:fill="FFFFFF"/>
        </w:rPr>
        <w:t>备课组工作计划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政治高考备考复习是一项内容繁多，要求很高的系统工程，首先就需要有一个严谨合理的复习计划。在高三的第一次备课组活动中，我们组的</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位老师根据本校的实际和本届学生的现状，同时也借鉴以前政治教学上的成功经验，制定出了高考</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一</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轮复习的详细，系统计划。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一、学情、教情分析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18"/>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本届高三选修政治的班有</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9</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个，每个班大概</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45</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人，其中一个班是</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混合班</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大部分学生学习较为认真，但不少学生仍然存在基础不牢、知识模棱两可；解题缺乏技巧、思路不清；讲练过的题目很陌生、缺乏思考和研究；答题不够规范，书写马马虎虎等问题。少数同学对政治学科缺乏正确认识、重视不够，学习态度不够端正，学习的自觉性和积极性不高，学习的动力不足，投入时间很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218"/>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本届高三有5名任课教师（</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王金平</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老师、翁员媛老师、</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李柱明</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老师、</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杨也</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老师、</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孟久琳</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老师）工作兢兢业业，大家分工合作，为工作的有序推进和良好成绩的取得奠定坚实的基础。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二、复习策略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513" w:firstLineChars="214"/>
        <w:jc w:val="left"/>
        <w:rPr>
          <w:rFonts w:hint="default" w:asciiTheme="minorEastAsia" w:hAnsiTheme="minorEastAsia" w:eastAsiaTheme="minorEastAsia" w:cstheme="minorEastAsia"/>
          <w:i w:val="0"/>
          <w:iCs w:val="0"/>
          <w:caps w:val="0"/>
          <w:color w:val="000000"/>
          <w:spacing w:val="0"/>
          <w:sz w:val="24"/>
          <w:szCs w:val="24"/>
          <w:bdr w:val="none" w:color="auto" w:sz="0" w:space="0"/>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第一轮复习：安排至</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1</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月份。重点抓好课本基础知识，夯实基础，并注意知识的整和及理论体系的构建，注重点面结合，梳理教材基本知识点，加强学科内综合能力的培养。这一轮复习首先要完成记忆任务，即所需记忆的知识必须以背，默为合格，做到对所学知识特别是每一个高考考点了如指掌，烂熟于心，绝不能浮光掠影，蜻蜓点水。当然，要做到这样既需要老师精心备课，科学指导，也需要学生自己动手，动笔，动脑进行一些总结活动，由于</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内容较多</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所以，我们注重知识框架的建构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而，</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第二轮复习（专题复习）：安排在下学期的3，4月份</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开始</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主要有三项基本任务：一是强化知识，系统记忆，也就是系统地掌握各专题的知识网络，结构，把知识提炼，升华。二是注意培养学生综合运用知识的能力，运用所学各项知识，大跨度，多角度，多层次地分析问题，解决问题。三是提高解题的速度和准确性。从本质上讲，二轮复习是将学过的知识和已经具备的基本技能和方法运用于解决问题的一种复习，因此专题复习我们准备不再注重知识的先后次序，而是按照提出问题，分析问题，解决问题的思路，将知识进行必要的拆分，加工和重组。二轮复习不可避免要讲到热点问题，对热点问题，首先要注意选材，一是重视年度见的重要会议，二是重视人类共同关注的问题；其次应了解其背景材料，有些背景材料也是答题的素材，该记忆的一定要记牢固。近几年的高考命题并不考单纯的时政热点，因此，分析热点问题特别要注重热点和知识点的结合，也即将时政热点与课本知识挂起钩来，力求找到二者的交汇点。通过分析热点问题，拓展学生的知识面，提高学生综合运用知识分析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pP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那么，具体的做法主要是：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1.立足教材，夯实基础；立足课堂，提高效益；立足规范、提升能力。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2.帮助学生构建知识体系，并能对相关时事热点进行分析，做到活学活用。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3.用好《</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3年高考2年模拟</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》讲义、各地高考题及各大市模拟题等资料，增强复习的针对性、规范性和有效性。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4.</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注重课堂的15分钟限时训练，讲练结合，其次，错题以及背诵的追踪</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三、具体做法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1.加强教学研究,把准高考方向和要求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首先，研究高考。探究高考的规律和方向，有利于我们准确把握命题思路和备考方向，进而转化为课堂教学的具体内容，让学生熟悉和了解江苏卷的考查特点、考查形式、考查题型、高频考点，以此增强学生备考的方向和信心，使复习事半功倍。其次，研究学生。依据本校学生的基本情况，做到因材施教、对症下药。再次，研究教法。不断优化课堂教学方法和教学设计，努力提高课堂复习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2.立足教材，把握每个考点所涉及的基础知识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能力建立在知识的基础上。基础知识主要包括：（1）教材中显性的基本知识，即通常所理解的基本概念和原理；（2）对教材知识延伸的隐性知识，即教材文字背后的东西，也就是通常所说的知识之间的内在联系；（3）源于教材又高于教材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因此，在一轮复习阶段，必须对基础知识做到全面、认真的梳理。以教材和《步步高大一轮》为基础，发挥学生的积极性，充分做好课前准备、课后巩固。针对基础较好的学生多给一些时间自由消化，针对基础薄弱的学生，每节课留5分钟对重要知识和核心观点进行强化记忆。发挥课代表的作用，自觉组织背诵和默写。及时个别面批，反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3.整体把握知识的内在联系，帮助学生构建知识网络，做到活学活用知识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一轮复习课堂分析、讲解的重、难点在突出主干知识和核心考点的掌握，我们要想方设法帮助学生构建知识网络，即以某个重点知识作为核心，用辐射法将相关知识串以关键词的形式联起来，也可用网状图对知识进行横向串联和纵向串联。呈现知识的条理性、系统性，减轻学生负担、增强学习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lang w:eastAsia="zh-CN"/>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4.</w:t>
      </w:r>
      <w:r>
        <w:rPr>
          <w:rStyle w:val="5"/>
          <w:rFonts w:hint="eastAsia" w:asciiTheme="minorEastAsia" w:hAnsiTheme="minorEastAsia" w:cstheme="minorEastAsia"/>
          <w:b w:val="0"/>
          <w:bCs w:val="0"/>
          <w:i w:val="0"/>
          <w:iCs w:val="0"/>
          <w:caps w:val="0"/>
          <w:color w:val="000000"/>
          <w:spacing w:val="0"/>
          <w:sz w:val="24"/>
          <w:szCs w:val="24"/>
          <w:bdr w:val="none" w:color="auto" w:sz="0" w:space="0"/>
          <w:shd w:val="clear" w:fill="FFFFFF"/>
          <w:lang w:val="en-US" w:eastAsia="zh-CN"/>
        </w:rPr>
        <w:t>注重教学质量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首先，备课是提高课堂教学效率的根本途径。要在钻研教材的基础上备课，要在把握高考方向的基础上备课，要在全面了解学生的基础上备课，要在充分认识自己的基础上备课。加强集体备课，每一堂课都要做到集体备课，发挥集体的智慧。将集体备课落到实处，而不是流于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其次，上课，在认真备课的基础上上好每一堂课，上课要注意发挥自己的优势，要提高课堂教学的效率。要时刻关注学生的成长，因材施教，补差提优。要注意做到讲练结合。加强对学生的学法指导。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第三，课后反思，认真总结每堂课的得失，养成每课一反思的习惯，在反思中求进步。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jc w:val="left"/>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最后，完善听课制度，取长补短，共同提高。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协助班主任培养学生良好的学习习惯。每一位课任老师督促学生及时完成预习、作业等任务;要求每一位教师确实做到“四有四必”，并实行备课组长负责制，教研组长不定期的检查督促制，以使把这项工作落实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四、进度安排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（一）一轮复习</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（2022年7月—2022年</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1</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月底）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夯实基础知识，培养学科基本能力，落实考点。复习顺序为：</w:t>
      </w:r>
      <w:r>
        <w:rPr>
          <w:rFonts w:hint="eastAsia" w:asciiTheme="minorEastAsia" w:hAnsiTheme="minorEastAsia" w:eastAsiaTheme="minorEastAsia" w:cstheme="minorEastAsia"/>
          <w:i w:val="0"/>
          <w:iCs w:val="0"/>
          <w:caps w:val="0"/>
          <w:color w:val="000000"/>
          <w:spacing w:val="0"/>
          <w:sz w:val="24"/>
          <w:szCs w:val="24"/>
          <w:shd w:val="clear" w:fill="FFFFFF"/>
        </w:rPr>
        <w:t>《当代国际经济与政治》、《法律与生活》、《逻辑与思维》</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《中国特色社会主义》、《经济与社会》、《政治与生活》、《哲学与文化》、</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br w:type="textWrapping"/>
      </w: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（二）二轮复习</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（2023年</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2</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月—2022年4月）：建构知识体系，提升学科综合能力；关注社会，把知识点与时事热点相结合。以专题复习为基本形式强化核心考点。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（三）三轮复习</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（2023年4月—2023年</w:t>
      </w:r>
      <w:r>
        <w:rPr>
          <w:rFonts w:hint="eastAsia" w:asciiTheme="minorEastAsia" w:hAnsiTheme="minorEastAsia" w:cstheme="minorEastAsia"/>
          <w:i w:val="0"/>
          <w:iCs w:val="0"/>
          <w:caps w:val="0"/>
          <w:color w:val="000000"/>
          <w:spacing w:val="0"/>
          <w:sz w:val="24"/>
          <w:szCs w:val="24"/>
          <w:bdr w:val="none" w:color="auto" w:sz="0" w:space="0"/>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月）：对照考试要求，回归书本教材，提高应试技能，强化核心素养。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附件1：一轮复习具体安排</w:t>
      </w: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w:t>
      </w:r>
    </w:p>
    <w:tbl>
      <w:tblPr>
        <w:tblW w:w="72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1426"/>
        <w:gridCol w:w="5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周次</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时间</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主要工作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rPr>
              <w:t>8.31-9.</w:t>
            </w:r>
            <w:r>
              <w:rPr>
                <w:rFonts w:hint="eastAsia" w:asciiTheme="minorEastAsia" w:hAnsiTheme="minorEastAsia" w:cstheme="minorEastAsia"/>
                <w:i w:val="0"/>
                <w:iCs w:val="0"/>
                <w:caps w:val="0"/>
                <w:color w:val="000000"/>
                <w:spacing w:val="0"/>
                <w:sz w:val="24"/>
                <w:szCs w:val="24"/>
                <w:bdr w:val="none" w:color="auto" w:sz="0" w:space="0"/>
                <w:lang w:val="en-US" w:eastAsia="zh-CN"/>
              </w:rPr>
              <w:t>6</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bdr w:val="none" w:color="auto" w:sz="0" w:space="0"/>
                <w:lang w:val="en-US" w:eastAsia="zh-CN"/>
              </w:rPr>
              <w:t>选修三</w:t>
            </w:r>
            <w:r>
              <w:rPr>
                <w:rFonts w:hint="eastAsia" w:asciiTheme="minorEastAsia" w:hAnsiTheme="minorEastAsia" w:eastAsiaTheme="minorEastAsia" w:cstheme="minorEastAsia"/>
                <w:i w:val="0"/>
                <w:iCs w:val="0"/>
                <w:caps w:val="0"/>
                <w:color w:val="000000"/>
                <w:spacing w:val="0"/>
                <w:sz w:val="24"/>
                <w:szCs w:val="24"/>
                <w:bdr w:val="none" w:color="auto" w:sz="0" w:space="0"/>
              </w:rPr>
              <w:t>本书一轮复习回顾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2</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rPr>
              <w:t>9.</w:t>
            </w:r>
            <w:r>
              <w:rPr>
                <w:rFonts w:hint="eastAsia" w:asciiTheme="minorEastAsia" w:hAnsiTheme="minorEastAsia" w:cstheme="minorEastAsia"/>
                <w:i w:val="0"/>
                <w:iCs w:val="0"/>
                <w:caps w:val="0"/>
                <w:color w:val="000000"/>
                <w:spacing w:val="0"/>
                <w:sz w:val="24"/>
                <w:szCs w:val="24"/>
                <w:bdr w:val="none" w:color="auto" w:sz="0" w:space="0"/>
                <w:lang w:val="en-US" w:eastAsia="zh-CN"/>
              </w:rPr>
              <w:t>11</w:t>
            </w:r>
            <w:r>
              <w:rPr>
                <w:rFonts w:hint="eastAsia" w:asciiTheme="minorEastAsia" w:hAnsiTheme="minorEastAsia" w:eastAsiaTheme="minorEastAsia" w:cstheme="minorEastAsia"/>
                <w:i w:val="0"/>
                <w:iCs w:val="0"/>
                <w:caps w:val="0"/>
                <w:color w:val="000000"/>
                <w:spacing w:val="0"/>
                <w:sz w:val="24"/>
                <w:szCs w:val="24"/>
                <w:bdr w:val="none" w:color="auto" w:sz="0" w:space="0"/>
              </w:rPr>
              <w:t>-9.</w:t>
            </w:r>
            <w:r>
              <w:rPr>
                <w:rFonts w:hint="eastAsia" w:asciiTheme="minorEastAsia" w:hAnsiTheme="minorEastAsia" w:cstheme="minorEastAsia"/>
                <w:i w:val="0"/>
                <w:iCs w:val="0"/>
                <w:caps w:val="0"/>
                <w:color w:val="000000"/>
                <w:spacing w:val="0"/>
                <w:sz w:val="24"/>
                <w:szCs w:val="24"/>
                <w:bdr w:val="none" w:color="auto" w:sz="0" w:space="0"/>
                <w:lang w:val="en-US" w:eastAsia="zh-CN"/>
              </w:rPr>
              <w:t>12</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期初模拟卷+期初考试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3</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9.12-9.18</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必修1一轮复习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4</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9.19-9.25</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必修1一轮复习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5</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9.26-10.2</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2</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6</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10.3-10.9</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2</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7</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10.10-10.16</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3</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8</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10.17-10.23</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3</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0" w:hRule="atLeast"/>
        </w:trPr>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9</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10.24-10.30</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3</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10</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10.31-11.6</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3</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11</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rPr>
              <w:t>11.</w:t>
            </w:r>
            <w:r>
              <w:rPr>
                <w:rFonts w:hint="eastAsia" w:asciiTheme="minorEastAsia" w:hAnsiTheme="minorEastAsia" w:cstheme="minorEastAsia"/>
                <w:i w:val="0"/>
                <w:iCs w:val="0"/>
                <w:caps w:val="0"/>
                <w:color w:val="000000"/>
                <w:spacing w:val="0"/>
                <w:sz w:val="24"/>
                <w:szCs w:val="24"/>
                <w:bdr w:val="none" w:color="auto" w:sz="0" w:space="0"/>
                <w:lang w:val="en-US" w:eastAsia="zh-CN"/>
              </w:rPr>
              <w:t>13</w:t>
            </w:r>
            <w:r>
              <w:rPr>
                <w:rFonts w:hint="eastAsia" w:asciiTheme="minorEastAsia" w:hAnsiTheme="minorEastAsia" w:eastAsiaTheme="minorEastAsia" w:cstheme="minorEastAsia"/>
                <w:i w:val="0"/>
                <w:iCs w:val="0"/>
                <w:caps w:val="0"/>
                <w:color w:val="000000"/>
                <w:spacing w:val="0"/>
                <w:sz w:val="24"/>
                <w:szCs w:val="24"/>
                <w:bdr w:val="none" w:color="auto" w:sz="0" w:space="0"/>
              </w:rPr>
              <w:t>-11.1</w:t>
            </w:r>
            <w:r>
              <w:rPr>
                <w:rFonts w:hint="eastAsia" w:asciiTheme="minorEastAsia" w:hAnsiTheme="minorEastAsia" w:cstheme="minorEastAsia"/>
                <w:i w:val="0"/>
                <w:iCs w:val="0"/>
                <w:caps w:val="0"/>
                <w:color w:val="000000"/>
                <w:spacing w:val="0"/>
                <w:sz w:val="24"/>
                <w:szCs w:val="24"/>
                <w:bdr w:val="none" w:color="auto" w:sz="0" w:space="0"/>
                <w:lang w:val="en-US" w:eastAsia="zh-CN"/>
              </w:rPr>
              <w:t>9</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期中考试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12</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11.14-11.20</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4</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13</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11.21-11.27</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4</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14</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11.28-12.4</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4</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15</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12.5-12.13</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必修</w:t>
            </w:r>
            <w:r>
              <w:rPr>
                <w:rFonts w:hint="eastAsia" w:asciiTheme="minorEastAsia" w:hAnsiTheme="minorEastAsia" w:cstheme="minorEastAsia"/>
                <w:i w:val="0"/>
                <w:iCs w:val="0"/>
                <w:caps w:val="0"/>
                <w:color w:val="000000"/>
                <w:spacing w:val="0"/>
                <w:sz w:val="24"/>
                <w:szCs w:val="24"/>
                <w:bdr w:val="none" w:color="auto" w:sz="0" w:space="0"/>
                <w:lang w:val="en-US" w:eastAsia="zh-CN"/>
              </w:rPr>
              <w:t>4</w:t>
            </w:r>
            <w:r>
              <w:rPr>
                <w:rFonts w:hint="eastAsia" w:asciiTheme="minorEastAsia" w:hAnsiTheme="minorEastAsia" w:eastAsiaTheme="minorEastAsia" w:cstheme="minorEastAsia"/>
                <w:i w:val="0"/>
                <w:iCs w:val="0"/>
                <w:caps w:val="0"/>
                <w:color w:val="000000"/>
                <w:spacing w:val="0"/>
                <w:sz w:val="24"/>
                <w:szCs w:val="24"/>
                <w:bdr w:val="none" w:color="auto" w:sz="0" w:space="0"/>
              </w:rPr>
              <w:t>一轮复习总结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16</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12.14-12.18</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综合试卷训练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17</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12.19-12.25</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综合试卷训练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18</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12.26-1.1</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元旦放假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19</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rPr>
              <w:t>1.2-1.</w:t>
            </w:r>
            <w:r>
              <w:rPr>
                <w:rFonts w:hint="eastAsia" w:asciiTheme="minorEastAsia" w:hAnsiTheme="minorEastAsia" w:cstheme="minorEastAsia"/>
                <w:i w:val="0"/>
                <w:iCs w:val="0"/>
                <w:caps w:val="0"/>
                <w:color w:val="000000"/>
                <w:spacing w:val="0"/>
                <w:sz w:val="24"/>
                <w:szCs w:val="24"/>
                <w:bdr w:val="none" w:color="auto" w:sz="0" w:space="0"/>
                <w:lang w:val="en-US" w:eastAsia="zh-CN"/>
              </w:rPr>
              <w:t>15</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rPr>
              <w:t>综合试卷训练</w:t>
            </w:r>
            <w:r>
              <w:rPr>
                <w:rFonts w:hint="eastAsia" w:asciiTheme="minorEastAsia" w:hAnsiTheme="minorEastAsia" w:cstheme="minorEastAsia"/>
                <w:i w:val="0"/>
                <w:iCs w:val="0"/>
                <w:caps w:val="0"/>
                <w:color w:val="000000"/>
                <w:spacing w:val="0"/>
                <w:sz w:val="24"/>
                <w:szCs w:val="24"/>
                <w:bdr w:val="none" w:color="auto" w:sz="0" w:space="0"/>
                <w:lang w:val="en-US" w:eastAsia="zh-CN"/>
              </w:rPr>
              <w:t>以及滚动式知识巩固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20</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rPr>
              <w:t>1.</w:t>
            </w:r>
            <w:r>
              <w:rPr>
                <w:rFonts w:hint="eastAsia" w:asciiTheme="minorEastAsia" w:hAnsiTheme="minorEastAsia" w:cstheme="minorEastAsia"/>
                <w:i w:val="0"/>
                <w:iCs w:val="0"/>
                <w:caps w:val="0"/>
                <w:color w:val="000000"/>
                <w:spacing w:val="0"/>
                <w:sz w:val="24"/>
                <w:szCs w:val="24"/>
                <w:bdr w:val="none" w:color="auto" w:sz="0" w:space="0"/>
                <w:lang w:val="en-US" w:eastAsia="zh-CN"/>
              </w:rPr>
              <w:t>15</w:t>
            </w:r>
            <w:r>
              <w:rPr>
                <w:rFonts w:hint="eastAsia" w:asciiTheme="minorEastAsia" w:hAnsiTheme="minorEastAsia" w:eastAsiaTheme="minorEastAsia" w:cstheme="minorEastAsia"/>
                <w:i w:val="0"/>
                <w:iCs w:val="0"/>
                <w:caps w:val="0"/>
                <w:color w:val="000000"/>
                <w:spacing w:val="0"/>
                <w:sz w:val="24"/>
                <w:szCs w:val="24"/>
                <w:bdr w:val="none" w:color="auto" w:sz="0" w:space="0"/>
              </w:rPr>
              <w:t>-1.1</w:t>
            </w:r>
            <w:r>
              <w:rPr>
                <w:rFonts w:hint="eastAsia" w:asciiTheme="minorEastAsia" w:hAnsiTheme="minorEastAsia" w:cstheme="minorEastAsia"/>
                <w:i w:val="0"/>
                <w:iCs w:val="0"/>
                <w:caps w:val="0"/>
                <w:color w:val="000000"/>
                <w:spacing w:val="0"/>
                <w:sz w:val="24"/>
                <w:szCs w:val="24"/>
                <w:bdr w:val="none" w:color="auto" w:sz="0" w:space="0"/>
                <w:lang w:val="en-US" w:eastAsia="zh-CN"/>
              </w:rPr>
              <w:t>7</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期末考试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21</w:t>
            </w:r>
          </w:p>
        </w:tc>
        <w:tc>
          <w:tcPr>
            <w:tcW w:w="142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bdr w:val="none" w:color="auto" w:sz="0" w:space="0"/>
              </w:rPr>
              <w:t>1.16-1.2</w:t>
            </w:r>
            <w:r>
              <w:rPr>
                <w:rFonts w:hint="eastAsia" w:asciiTheme="minorEastAsia" w:hAnsiTheme="minorEastAsia" w:cstheme="minorEastAsia"/>
                <w:i w:val="0"/>
                <w:iCs w:val="0"/>
                <w:caps w:val="0"/>
                <w:color w:val="000000"/>
                <w:spacing w:val="0"/>
                <w:sz w:val="24"/>
                <w:szCs w:val="24"/>
                <w:bdr w:val="none" w:color="auto" w:sz="0" w:space="0"/>
                <w:lang w:val="en-US" w:eastAsia="zh-CN"/>
              </w:rPr>
              <w:t>8</w:t>
            </w:r>
          </w:p>
        </w:tc>
        <w:tc>
          <w:tcPr>
            <w:tcW w:w="543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期末试卷讲评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bdr w:val="none" w:color="auto" w:sz="0" w:space="0"/>
          <w:shd w:val="clear" w:fill="FFFFFF"/>
        </w:rPr>
        <w:t>附件2：集体备课安排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w:t>
      </w:r>
    </w:p>
    <w:tbl>
      <w:tblPr>
        <w:tblW w:w="10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46"/>
        <w:gridCol w:w="3861"/>
        <w:gridCol w:w="1366"/>
        <w:gridCol w:w="878"/>
        <w:gridCol w:w="4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次</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内 容                        </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形式</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开课人（主备人）</w:t>
            </w:r>
          </w:p>
        </w:tc>
        <w:tc>
          <w:tcPr>
            <w:tcW w:w="408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评课人（复备人）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教学计划、教学进度等研讨</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集体备课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翁员媛</w:t>
            </w:r>
          </w:p>
        </w:tc>
        <w:tc>
          <w:tcPr>
            <w:tcW w:w="4088"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5</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复习试卷讲评课</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公开课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孟久琳</w:t>
            </w:r>
          </w:p>
        </w:tc>
        <w:tc>
          <w:tcPr>
            <w:tcW w:w="408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尹雷主任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7</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复习课</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公开课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翁员媛</w:t>
            </w:r>
          </w:p>
        </w:tc>
        <w:tc>
          <w:tcPr>
            <w:tcW w:w="408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尹雷主任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10</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期中考试研讨</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集体备课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王金平</w:t>
            </w:r>
          </w:p>
        </w:tc>
        <w:tc>
          <w:tcPr>
            <w:tcW w:w="4088"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13</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复习课</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公开课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杨也</w:t>
            </w:r>
          </w:p>
        </w:tc>
        <w:tc>
          <w:tcPr>
            <w:tcW w:w="408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王金平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15</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复习课</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公开课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孟久琳</w:t>
            </w:r>
          </w:p>
        </w:tc>
        <w:tc>
          <w:tcPr>
            <w:tcW w:w="408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李柱明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16</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复习回顾和反思研讨   </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集体备课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王金平</w:t>
            </w:r>
          </w:p>
        </w:tc>
        <w:tc>
          <w:tcPr>
            <w:tcW w:w="4088"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18</w:t>
            </w:r>
          </w:p>
        </w:tc>
        <w:tc>
          <w:tcPr>
            <w:tcW w:w="3861"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期末复习研讨      </w:t>
            </w:r>
          </w:p>
        </w:tc>
        <w:tc>
          <w:tcPr>
            <w:tcW w:w="1366"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集体备课</w:t>
            </w:r>
          </w:p>
        </w:tc>
        <w:tc>
          <w:tcPr>
            <w:tcW w:w="878" w:type="dxa"/>
            <w:tcBorders>
              <w:top w:val="nil"/>
              <w:left w:val="nil"/>
              <w:bottom w:val="nil"/>
              <w:right w:val="nil"/>
            </w:tcBorders>
            <w:shd w:val="clear" w:color="auto" w:fill="FFFFFF"/>
            <w:tcMar>
              <w:left w:w="53" w:type="dxa"/>
              <w:right w:w="53"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翁员媛</w:t>
            </w:r>
          </w:p>
        </w:tc>
        <w:tc>
          <w:tcPr>
            <w:tcW w:w="4088" w:type="dxa"/>
            <w:tcBorders>
              <w:top w:val="nil"/>
              <w:left w:val="nil"/>
              <w:bottom w:val="nil"/>
              <w:right w:val="nil"/>
            </w:tcBorders>
            <w:shd w:val="clear" w:color="auto" w:fill="FFFFFF"/>
            <w:tcMar>
              <w:left w:w="53" w:type="dxa"/>
              <w:right w:w="53" w:type="dxa"/>
            </w:tcMar>
            <w:vAlign w:val="top"/>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 </w:t>
      </w:r>
    </w:p>
    <w:p>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OTY0NGQ3YTRmNzJjODdmZDEyZTZlZTM2ZGJiZWEifQ=="/>
  </w:docVars>
  <w:rsids>
    <w:rsidRoot w:val="2C880A52"/>
    <w:rsid w:val="15962AE1"/>
    <w:rsid w:val="2C880A52"/>
    <w:rsid w:val="4A4554B8"/>
    <w:rsid w:val="51627812"/>
    <w:rsid w:val="7B38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2023-09-18T00:48:00Z</dcterms:created>
  <dc:creator>风一样的女子sky</dc:creator>
  <cp:lastModifiedBy>风一样的女子sky</cp:lastModifiedBy>
  <dcterms:modified xsi:type="dcterms:W3CDTF">2023-09-18T02:08:36Z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6339029AFB5D4FF3B4689F61BB13A520_11</vt:lpwstr>
  </property>
</Properties>
</file>