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000000" w:themeColor="text1"/>
          <w:sz w:val="32"/>
          <w:szCs w:val="32"/>
          <w14:textFill>
            <w14:solidFill>
              <w14:schemeClr w14:val="tx1"/>
            </w14:solidFill>
          </w14:textFill>
        </w:rPr>
      </w:pPr>
      <w:r>
        <w:rPr>
          <w:rFonts w:hint="default" w:ascii="Times New Roman" w:hAnsi="Times New Roman" w:eastAsia="华文宋体" w:cs="Times New Roman"/>
          <w:b/>
          <w:color w:val="000000" w:themeColor="text1"/>
          <w:sz w:val="32"/>
          <w:szCs w:val="32"/>
          <w14:textFill>
            <w14:solidFill>
              <w14:schemeClr w14:val="tx1"/>
            </w14:solidFill>
          </w14:textFill>
        </w:rPr>
        <w:t>202</w:t>
      </w:r>
      <w:r>
        <w:rPr>
          <w:rFonts w:hint="default" w:ascii="Times New Roman" w:hAnsi="Times New Roman" w:eastAsia="华文宋体" w:cs="Times New Roman"/>
          <w:b/>
          <w:color w:val="000000" w:themeColor="text1"/>
          <w:sz w:val="32"/>
          <w:szCs w:val="32"/>
          <w:lang w:val="en-US" w:eastAsia="zh-CN"/>
          <w14:textFill>
            <w14:solidFill>
              <w14:schemeClr w14:val="tx1"/>
            </w14:solidFill>
          </w14:textFill>
        </w:rPr>
        <w:t>3</w:t>
      </w:r>
      <w:r>
        <w:rPr>
          <w:rFonts w:hint="eastAsia" w:ascii="黑体" w:hAnsi="黑体" w:eastAsia="黑体"/>
          <w:b/>
          <w:color w:val="000000" w:themeColor="text1"/>
          <w:sz w:val="32"/>
          <w:szCs w:val="32"/>
          <w14:textFill>
            <w14:solidFill>
              <w14:schemeClr w14:val="tx1"/>
            </w14:solidFill>
          </w14:textFill>
        </w:rPr>
        <w:t>届高三年级第</w:t>
      </w:r>
      <w:r>
        <w:rPr>
          <w:rFonts w:hint="eastAsia" w:ascii="黑体" w:hAnsi="黑体" w:eastAsia="黑体"/>
          <w:b/>
          <w:color w:val="000000" w:themeColor="text1"/>
          <w:sz w:val="32"/>
          <w:szCs w:val="32"/>
          <w:lang w:val="en-US" w:eastAsia="zh-CN"/>
          <w14:textFill>
            <w14:solidFill>
              <w14:schemeClr w14:val="tx1"/>
            </w14:solidFill>
          </w14:textFill>
        </w:rPr>
        <w:t>一</w:t>
      </w:r>
      <w:r>
        <w:rPr>
          <w:rFonts w:hint="eastAsia" w:ascii="黑体" w:hAnsi="黑体" w:eastAsia="黑体"/>
          <w:b/>
          <w:color w:val="000000" w:themeColor="text1"/>
          <w:sz w:val="32"/>
          <w:szCs w:val="32"/>
          <w14:textFill>
            <w14:solidFill>
              <w14:schemeClr w14:val="tx1"/>
            </w14:solidFill>
          </w14:textFill>
        </w:rPr>
        <w:t>次模拟考试学科质量分析</w:t>
      </w:r>
    </w:p>
    <w:p>
      <w:pPr>
        <w:jc w:val="center"/>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生  物  学  科</w:t>
      </w:r>
    </w:p>
    <w:p>
      <w:pPr>
        <w:rPr>
          <w:rFonts w:eastAsia="黑体"/>
          <w:b/>
          <w:color w:val="000000" w:themeColor="text1"/>
          <w:sz w:val="24"/>
          <w14:textFill>
            <w14:solidFill>
              <w14:schemeClr w14:val="tx1"/>
            </w14:solidFill>
          </w14:textFill>
        </w:rPr>
      </w:pPr>
      <w:r>
        <w:rPr>
          <w:rFonts w:eastAsia="黑体"/>
          <w:b/>
          <w:color w:val="000000" w:themeColor="text1"/>
          <w:sz w:val="24"/>
          <w14:textFill>
            <w14:solidFill>
              <w14:schemeClr w14:val="tx1"/>
            </w14:solidFill>
          </w14:textFill>
        </w:rPr>
        <w:t>一、</w:t>
      </w:r>
      <w:r>
        <w:rPr>
          <w:rFonts w:ascii="黑体" w:hAnsi="黑体" w:eastAsia="黑体"/>
          <w:b/>
          <w:color w:val="000000" w:themeColor="text1"/>
          <w:sz w:val="24"/>
          <w14:textFill>
            <w14:solidFill>
              <w14:schemeClr w14:val="tx1"/>
            </w14:solidFill>
          </w14:textFill>
        </w:rPr>
        <w:t>命题指导思想</w:t>
      </w:r>
    </w:p>
    <w:p>
      <w:pPr>
        <w:pStyle w:val="2"/>
        <w:adjustRightInd w:val="0"/>
        <w:snapToGrid w:val="0"/>
        <w:spacing w:after="0"/>
        <w:ind w:firstLine="420" w:firstLineChars="200"/>
        <w:jc w:val="left"/>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一模试卷的命制是基于一轮复习已经全面完成，二轮复习正有序开展的背景下，意图全面检测一轮复习的教学效果，诊断教与学存在的问题，为二轮复习的全面推进指明方向。试题命制遵循新课标，基于新教材，关注新高考，按照学业质量水平三、四级要求，优化试题呈现方式，注重发挥生物学科的育人功能，注重考查关键能力、学科素养和思维品质，注重考查学生对所学知识的融会贯通和灵活运用，引导学生在解决实际问题的过程中建构知识、培养能力、提升素养。试题内容稳中求新，稳中求进，结合科学技术进步、生产生活实际等创设情境，充分考虑学生学习和生活实际，把课本知识与“具体真实的世界”联系起来，努力体现考查的基础性、综合性、应用性和创新性。</w:t>
      </w:r>
    </w:p>
    <w:p>
      <w:pPr>
        <w:rPr>
          <w:rFonts w:eastAsia="黑体"/>
          <w:b/>
          <w:color w:val="000000" w:themeColor="text1"/>
          <w:sz w:val="24"/>
          <w14:textFill>
            <w14:solidFill>
              <w14:schemeClr w14:val="tx1"/>
            </w14:solidFill>
          </w14:textFill>
        </w:rPr>
      </w:pPr>
      <w:r>
        <w:rPr>
          <w:rFonts w:hint="eastAsia" w:eastAsia="黑体"/>
          <w:b/>
          <w:color w:val="000000" w:themeColor="text1"/>
          <w:sz w:val="24"/>
          <w14:textFill>
            <w14:solidFill>
              <w14:schemeClr w14:val="tx1"/>
            </w14:solidFill>
          </w14:textFill>
        </w:rPr>
        <w:t>二</w:t>
      </w:r>
      <w:r>
        <w:rPr>
          <w:rFonts w:eastAsia="黑体"/>
          <w:b/>
          <w:color w:val="000000" w:themeColor="text1"/>
          <w:sz w:val="24"/>
          <w14:textFill>
            <w14:solidFill>
              <w14:schemeClr w14:val="tx1"/>
            </w14:solidFill>
          </w14:textFill>
        </w:rPr>
        <w:t>、</w:t>
      </w:r>
      <w:r>
        <w:rPr>
          <w:rFonts w:hint="eastAsia" w:eastAsia="黑体"/>
          <w:b/>
          <w:color w:val="000000" w:themeColor="text1"/>
          <w:sz w:val="24"/>
          <w14:textFill>
            <w14:solidFill>
              <w14:schemeClr w14:val="tx1"/>
            </w14:solidFill>
          </w14:textFill>
        </w:rPr>
        <w:t>试卷结构分析</w:t>
      </w:r>
    </w:p>
    <w:p>
      <w:pPr>
        <w:ind w:firstLine="420" w:firstLineChars="200"/>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本次考试时间为75分钟，试卷分值为100分。题型仍然以单选题、多选题和非选择题作为考查的结构形式。与2021年、2022年江苏新高考生物卷相比，为增加覆盖面，试卷非选择题中2分的空适度减少，1分的空略有增加，对学生的阅读理解、答题速度提出了较高的要求。试题考查的必备知识及情境设置情况如下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550"/>
        <w:gridCol w:w="2780"/>
        <w:gridCol w:w="2850"/>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pStyle w:val="2"/>
              <w:adjustRightInd w:val="0"/>
              <w:snapToGrid w:val="0"/>
              <w:spacing w:after="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题号</w:t>
            </w:r>
          </w:p>
        </w:tc>
        <w:tc>
          <w:tcPr>
            <w:tcW w:w="1550" w:type="dxa"/>
          </w:tcPr>
          <w:p>
            <w:pPr>
              <w:pStyle w:val="2"/>
              <w:adjustRightInd w:val="0"/>
              <w:snapToGrid w:val="0"/>
              <w:spacing w:after="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考查模块</w:t>
            </w:r>
          </w:p>
        </w:tc>
        <w:tc>
          <w:tcPr>
            <w:tcW w:w="2780" w:type="dxa"/>
          </w:tcPr>
          <w:p>
            <w:pPr>
              <w:pStyle w:val="2"/>
              <w:adjustRightInd w:val="0"/>
              <w:snapToGrid w:val="0"/>
              <w:spacing w:after="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必备知识</w:t>
            </w:r>
          </w:p>
        </w:tc>
        <w:tc>
          <w:tcPr>
            <w:tcW w:w="2850" w:type="dxa"/>
          </w:tcPr>
          <w:p>
            <w:pPr>
              <w:pStyle w:val="2"/>
              <w:adjustRightInd w:val="0"/>
              <w:snapToGrid w:val="0"/>
              <w:spacing w:after="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情境设置</w:t>
            </w:r>
          </w:p>
        </w:tc>
        <w:tc>
          <w:tcPr>
            <w:tcW w:w="676" w:type="dxa"/>
          </w:tcPr>
          <w:p>
            <w:pPr>
              <w:pStyle w:val="2"/>
              <w:adjustRightInd w:val="0"/>
              <w:snapToGrid w:val="0"/>
              <w:spacing w:after="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6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w:t>
            </w:r>
          </w:p>
        </w:tc>
        <w:tc>
          <w:tcPr>
            <w:tcW w:w="15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必修1、必修2</w:t>
            </w:r>
          </w:p>
        </w:tc>
        <w:tc>
          <w:tcPr>
            <w:tcW w:w="278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细胞分子组成</w:t>
            </w:r>
          </w:p>
        </w:tc>
        <w:tc>
          <w:tcPr>
            <w:tcW w:w="28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糖RNA</w:t>
            </w:r>
          </w:p>
        </w:tc>
        <w:tc>
          <w:tcPr>
            <w:tcW w:w="67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w:t>
            </w:r>
          </w:p>
        </w:tc>
        <w:tc>
          <w:tcPr>
            <w:tcW w:w="15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必修1</w:t>
            </w:r>
          </w:p>
        </w:tc>
        <w:tc>
          <w:tcPr>
            <w:tcW w:w="278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细胞结构与功能</w:t>
            </w:r>
          </w:p>
        </w:tc>
        <w:tc>
          <w:tcPr>
            <w:tcW w:w="2850"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67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3</w:t>
            </w:r>
          </w:p>
        </w:tc>
        <w:tc>
          <w:tcPr>
            <w:tcW w:w="15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必修1、必修2</w:t>
            </w:r>
          </w:p>
        </w:tc>
        <w:tc>
          <w:tcPr>
            <w:tcW w:w="278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细胞的生命历程</w:t>
            </w:r>
          </w:p>
        </w:tc>
        <w:tc>
          <w:tcPr>
            <w:tcW w:w="2850"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67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4</w:t>
            </w:r>
          </w:p>
        </w:tc>
        <w:tc>
          <w:tcPr>
            <w:tcW w:w="15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必修1、选必3</w:t>
            </w:r>
          </w:p>
        </w:tc>
        <w:tc>
          <w:tcPr>
            <w:tcW w:w="278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实验综合</w:t>
            </w:r>
          </w:p>
        </w:tc>
        <w:tc>
          <w:tcPr>
            <w:tcW w:w="2850"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67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5</w:t>
            </w:r>
          </w:p>
        </w:tc>
        <w:tc>
          <w:tcPr>
            <w:tcW w:w="15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必修1、必修2、选必1</w:t>
            </w:r>
          </w:p>
        </w:tc>
        <w:tc>
          <w:tcPr>
            <w:tcW w:w="278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生命科学史</w:t>
            </w:r>
          </w:p>
        </w:tc>
        <w:tc>
          <w:tcPr>
            <w:tcW w:w="2850"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67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6</w:t>
            </w:r>
          </w:p>
        </w:tc>
        <w:tc>
          <w:tcPr>
            <w:tcW w:w="15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必修2、选择性必修2</w:t>
            </w:r>
          </w:p>
        </w:tc>
        <w:tc>
          <w:tcPr>
            <w:tcW w:w="278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生态系统、生物多样性保护、信息传递、生殖隔离</w:t>
            </w:r>
          </w:p>
        </w:tc>
        <w:tc>
          <w:tcPr>
            <w:tcW w:w="28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红山动物园园区生态学分析</w:t>
            </w:r>
          </w:p>
        </w:tc>
        <w:tc>
          <w:tcPr>
            <w:tcW w:w="67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7</w:t>
            </w:r>
          </w:p>
        </w:tc>
        <w:tc>
          <w:tcPr>
            <w:tcW w:w="15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必修1、必修2</w:t>
            </w:r>
          </w:p>
        </w:tc>
        <w:tc>
          <w:tcPr>
            <w:tcW w:w="278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伴性遗传、有丝分裂与减数分裂、基因定位</w:t>
            </w:r>
          </w:p>
        </w:tc>
        <w:tc>
          <w:tcPr>
            <w:tcW w:w="28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正常雄果蝇体细胞染色体基因分布</w:t>
            </w:r>
          </w:p>
        </w:tc>
        <w:tc>
          <w:tcPr>
            <w:tcW w:w="67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8</w:t>
            </w:r>
          </w:p>
        </w:tc>
        <w:tc>
          <w:tcPr>
            <w:tcW w:w="15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必修2</w:t>
            </w:r>
          </w:p>
        </w:tc>
        <w:tc>
          <w:tcPr>
            <w:tcW w:w="2780"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杂交实验结果分析</w:t>
            </w:r>
          </w:p>
        </w:tc>
        <w:tc>
          <w:tcPr>
            <w:tcW w:w="28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ZW型动物显性突变体突变基因位置判断</w:t>
            </w:r>
          </w:p>
        </w:tc>
        <w:tc>
          <w:tcPr>
            <w:tcW w:w="67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9</w:t>
            </w:r>
          </w:p>
        </w:tc>
        <w:tc>
          <w:tcPr>
            <w:tcW w:w="15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选择性必修3</w:t>
            </w:r>
          </w:p>
        </w:tc>
        <w:tc>
          <w:tcPr>
            <w:tcW w:w="278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微生物培养、发酵工程</w:t>
            </w:r>
          </w:p>
        </w:tc>
        <w:tc>
          <w:tcPr>
            <w:tcW w:w="28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酱油酿造</w:t>
            </w:r>
          </w:p>
        </w:tc>
        <w:tc>
          <w:tcPr>
            <w:tcW w:w="67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66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10</w:t>
            </w:r>
          </w:p>
        </w:tc>
        <w:tc>
          <w:tcPr>
            <w:tcW w:w="15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选择性必修1</w:t>
            </w:r>
          </w:p>
        </w:tc>
        <w:tc>
          <w:tcPr>
            <w:tcW w:w="278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植物激素、植物生长调节剂</w:t>
            </w:r>
          </w:p>
        </w:tc>
        <w:tc>
          <w:tcPr>
            <w:tcW w:w="2850"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67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11</w:t>
            </w:r>
          </w:p>
        </w:tc>
        <w:tc>
          <w:tcPr>
            <w:tcW w:w="15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选择性必修1</w:t>
            </w:r>
          </w:p>
        </w:tc>
        <w:tc>
          <w:tcPr>
            <w:tcW w:w="278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免疫调节</w:t>
            </w:r>
          </w:p>
        </w:tc>
        <w:tc>
          <w:tcPr>
            <w:tcW w:w="28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HPV疫苗接种</w:t>
            </w:r>
          </w:p>
        </w:tc>
        <w:tc>
          <w:tcPr>
            <w:tcW w:w="67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12</w:t>
            </w:r>
          </w:p>
        </w:tc>
        <w:tc>
          <w:tcPr>
            <w:tcW w:w="15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必修2、选择性必修3</w:t>
            </w:r>
          </w:p>
        </w:tc>
        <w:tc>
          <w:tcPr>
            <w:tcW w:w="278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胚胎移植、生物进化、植物体细胞杂交、单克隆抗体</w:t>
            </w:r>
          </w:p>
        </w:tc>
        <w:tc>
          <w:tcPr>
            <w:tcW w:w="28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生物学研究中的“鉴别”与“筛选”</w:t>
            </w:r>
          </w:p>
        </w:tc>
        <w:tc>
          <w:tcPr>
            <w:tcW w:w="67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13</w:t>
            </w:r>
          </w:p>
        </w:tc>
        <w:tc>
          <w:tcPr>
            <w:tcW w:w="15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选择性必修3</w:t>
            </w:r>
          </w:p>
        </w:tc>
        <w:tc>
          <w:tcPr>
            <w:tcW w:w="278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植物组织培养</w:t>
            </w:r>
          </w:p>
        </w:tc>
        <w:tc>
          <w:tcPr>
            <w:tcW w:w="28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感染束顶病毒植株脱毒苗实验结果</w:t>
            </w:r>
          </w:p>
        </w:tc>
        <w:tc>
          <w:tcPr>
            <w:tcW w:w="67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14</w:t>
            </w:r>
          </w:p>
        </w:tc>
        <w:tc>
          <w:tcPr>
            <w:tcW w:w="15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选择性必修3</w:t>
            </w:r>
          </w:p>
        </w:tc>
        <w:tc>
          <w:tcPr>
            <w:tcW w:w="278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动物细胞培养</w:t>
            </w:r>
          </w:p>
        </w:tc>
        <w:tc>
          <w:tcPr>
            <w:tcW w:w="28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可食用“人造肉”制备</w:t>
            </w:r>
          </w:p>
        </w:tc>
        <w:tc>
          <w:tcPr>
            <w:tcW w:w="67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15</w:t>
            </w:r>
          </w:p>
        </w:tc>
        <w:tc>
          <w:tcPr>
            <w:tcW w:w="15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必修1</w:t>
            </w:r>
          </w:p>
        </w:tc>
        <w:tc>
          <w:tcPr>
            <w:tcW w:w="278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物质跨膜运输</w:t>
            </w:r>
          </w:p>
        </w:tc>
        <w:tc>
          <w:tcPr>
            <w:tcW w:w="28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V型质子泵</w:t>
            </w:r>
          </w:p>
        </w:tc>
        <w:tc>
          <w:tcPr>
            <w:tcW w:w="67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16</w:t>
            </w:r>
          </w:p>
        </w:tc>
        <w:tc>
          <w:tcPr>
            <w:tcW w:w="15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选择性必修2</w:t>
            </w:r>
          </w:p>
        </w:tc>
        <w:tc>
          <w:tcPr>
            <w:tcW w:w="2780"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种群</w:t>
            </w:r>
          </w:p>
        </w:tc>
        <w:tc>
          <w:tcPr>
            <w:tcW w:w="28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东亚飞蝗孤雌生殖</w:t>
            </w:r>
          </w:p>
        </w:tc>
        <w:tc>
          <w:tcPr>
            <w:tcW w:w="67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17</w:t>
            </w:r>
          </w:p>
        </w:tc>
        <w:tc>
          <w:tcPr>
            <w:tcW w:w="15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必修2</w:t>
            </w:r>
          </w:p>
        </w:tc>
        <w:tc>
          <w:tcPr>
            <w:tcW w:w="278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遗传规律</w:t>
            </w:r>
          </w:p>
        </w:tc>
        <w:tc>
          <w:tcPr>
            <w:tcW w:w="28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果蝇杂交实验分析</w:t>
            </w:r>
          </w:p>
        </w:tc>
        <w:tc>
          <w:tcPr>
            <w:tcW w:w="67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18</w:t>
            </w:r>
          </w:p>
        </w:tc>
        <w:tc>
          <w:tcPr>
            <w:tcW w:w="15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选择性必修1</w:t>
            </w:r>
          </w:p>
        </w:tc>
        <w:tc>
          <w:tcPr>
            <w:tcW w:w="278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血糖调节</w:t>
            </w:r>
          </w:p>
        </w:tc>
        <w:tc>
          <w:tcPr>
            <w:tcW w:w="28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IA调控血糖，二甲双胍降糖</w:t>
            </w:r>
          </w:p>
        </w:tc>
        <w:tc>
          <w:tcPr>
            <w:tcW w:w="67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19</w:t>
            </w:r>
          </w:p>
        </w:tc>
        <w:tc>
          <w:tcPr>
            <w:tcW w:w="15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必修2</w:t>
            </w:r>
          </w:p>
        </w:tc>
        <w:tc>
          <w:tcPr>
            <w:tcW w:w="278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现代生物进化理论</w:t>
            </w:r>
          </w:p>
        </w:tc>
        <w:tc>
          <w:tcPr>
            <w:tcW w:w="28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太平洋岛屿鸟类进化</w:t>
            </w:r>
          </w:p>
        </w:tc>
        <w:tc>
          <w:tcPr>
            <w:tcW w:w="67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20</w:t>
            </w:r>
          </w:p>
        </w:tc>
        <w:tc>
          <w:tcPr>
            <w:tcW w:w="15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必修1</w:t>
            </w:r>
          </w:p>
        </w:tc>
        <w:tc>
          <w:tcPr>
            <w:tcW w:w="278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光合作用与细胞呼吸</w:t>
            </w:r>
          </w:p>
        </w:tc>
        <w:tc>
          <w:tcPr>
            <w:tcW w:w="28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番茄代谢及实验分析</w:t>
            </w:r>
          </w:p>
        </w:tc>
        <w:tc>
          <w:tcPr>
            <w:tcW w:w="676"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21</w:t>
            </w:r>
          </w:p>
        </w:tc>
        <w:tc>
          <w:tcPr>
            <w:tcW w:w="15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必修2</w:t>
            </w:r>
          </w:p>
        </w:tc>
        <w:tc>
          <w:tcPr>
            <w:tcW w:w="278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遗传物质基础、变异</w:t>
            </w:r>
          </w:p>
        </w:tc>
        <w:tc>
          <w:tcPr>
            <w:tcW w:w="28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CML机理及实验分析</w:t>
            </w:r>
          </w:p>
        </w:tc>
        <w:tc>
          <w:tcPr>
            <w:tcW w:w="676"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22</w:t>
            </w:r>
          </w:p>
        </w:tc>
        <w:tc>
          <w:tcPr>
            <w:tcW w:w="15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选择性必修2</w:t>
            </w:r>
          </w:p>
        </w:tc>
        <w:tc>
          <w:tcPr>
            <w:tcW w:w="278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生态系统结构与功能</w:t>
            </w:r>
          </w:p>
        </w:tc>
        <w:tc>
          <w:tcPr>
            <w:tcW w:w="28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秦淮河污染治理</w:t>
            </w:r>
          </w:p>
        </w:tc>
        <w:tc>
          <w:tcPr>
            <w:tcW w:w="676"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23</w:t>
            </w:r>
          </w:p>
        </w:tc>
        <w:tc>
          <w:tcPr>
            <w:tcW w:w="15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选择性必修1</w:t>
            </w:r>
          </w:p>
        </w:tc>
        <w:tc>
          <w:tcPr>
            <w:tcW w:w="278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神经调节、体液调节</w:t>
            </w:r>
          </w:p>
        </w:tc>
        <w:tc>
          <w:tcPr>
            <w:tcW w:w="28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人体运动对肌群的精准调控</w:t>
            </w:r>
          </w:p>
        </w:tc>
        <w:tc>
          <w:tcPr>
            <w:tcW w:w="676"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pStyle w:val="2"/>
              <w:adjustRightInd w:val="0"/>
              <w:snapToGrid w:val="0"/>
              <w:spacing w:after="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24</w:t>
            </w:r>
          </w:p>
        </w:tc>
        <w:tc>
          <w:tcPr>
            <w:tcW w:w="15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选择性必修3</w:t>
            </w:r>
          </w:p>
        </w:tc>
        <w:tc>
          <w:tcPr>
            <w:tcW w:w="278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基因工程、胚胎工程</w:t>
            </w:r>
          </w:p>
        </w:tc>
        <w:tc>
          <w:tcPr>
            <w:tcW w:w="2850"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双转基因兔培育及实验分析</w:t>
            </w:r>
          </w:p>
        </w:tc>
        <w:tc>
          <w:tcPr>
            <w:tcW w:w="676" w:type="dxa"/>
          </w:tcPr>
          <w:p>
            <w:pPr>
              <w:pStyle w:val="2"/>
              <w:adjustRightInd w:val="0"/>
              <w:snapToGrid w:val="0"/>
              <w:spacing w:after="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12</w:t>
            </w:r>
          </w:p>
        </w:tc>
      </w:tr>
    </w:tbl>
    <w:p>
      <w:pPr>
        <w:widowControl/>
        <w:ind w:firstLine="420"/>
        <w:jc w:val="left"/>
        <w:rPr>
          <w:rFonts w:ascii="宋体" w:hAnsi="宋体"/>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合计：必修1约占23分，必修2约占21分，选择性必修1约占20分，选择性必修2约占16分，选择性必修3约占20分。</w:t>
      </w:r>
    </w:p>
    <w:p>
      <w:pPr>
        <w:rPr>
          <w:rFonts w:ascii="黑体" w:hAnsi="黑体" w:eastAsia="黑体"/>
          <w:b/>
          <w:color w:val="000000" w:themeColor="text1"/>
          <w:sz w:val="24"/>
          <w14:textFill>
            <w14:solidFill>
              <w14:schemeClr w14:val="tx1"/>
            </w14:solidFill>
          </w14:textFill>
        </w:rPr>
      </w:pPr>
      <w:r>
        <w:rPr>
          <w:rFonts w:hint="eastAsia" w:eastAsia="黑体"/>
          <w:b/>
          <w:color w:val="000000" w:themeColor="text1"/>
          <w:sz w:val="24"/>
          <w14:textFill>
            <w14:solidFill>
              <w14:schemeClr w14:val="tx1"/>
            </w14:solidFill>
          </w14:textFill>
        </w:rPr>
        <w:t>三</w:t>
      </w:r>
      <w:r>
        <w:rPr>
          <w:rFonts w:eastAsia="黑体"/>
          <w:b/>
          <w:color w:val="000000" w:themeColor="text1"/>
          <w:sz w:val="24"/>
          <w14:textFill>
            <w14:solidFill>
              <w14:schemeClr w14:val="tx1"/>
            </w14:solidFill>
          </w14:textFill>
        </w:rPr>
        <w:t>、</w:t>
      </w:r>
      <w:r>
        <w:rPr>
          <w:rFonts w:hint="eastAsia" w:ascii="黑体" w:hAnsi="黑体" w:eastAsia="黑体"/>
          <w:b/>
          <w:color w:val="000000" w:themeColor="text1"/>
          <w:sz w:val="24"/>
          <w14:textFill>
            <w14:solidFill>
              <w14:schemeClr w14:val="tx1"/>
            </w14:solidFill>
          </w14:textFill>
        </w:rPr>
        <w:t>试卷特点分析</w:t>
      </w:r>
    </w:p>
    <w:p>
      <w:pPr>
        <w:ind w:firstLine="422" w:firstLineChars="200"/>
        <w:rPr>
          <w:rFonts w:hint="eastAsia" w:ascii="Times New Roman" w:hAnsi="Times New Roman" w:eastAsia="宋体" w:cs="Times New Roman"/>
          <w:b/>
          <w:bCs/>
          <w:color w:val="000000" w:themeColor="text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Cs w:val="21"/>
          <w:lang w:val="en-US" w:eastAsia="zh-CN"/>
          <w14:textFill>
            <w14:solidFill>
              <w14:schemeClr w14:val="tx1"/>
            </w14:solidFill>
          </w14:textFill>
        </w:rPr>
        <w:t>1. 凸显学科本质，运用生命观念解释生命现象</w:t>
      </w:r>
    </w:p>
    <w:p>
      <w:pPr>
        <w:ind w:firstLine="420" w:firstLineChars="200"/>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试题考查了学生理解或解释生物学相关事件和现象的观念和思想方法。学生在较好地理解生物学概念的基础上形成生命观念，并运用结构与功能观、进化与适应观、稳态与平衡观、物质与能量观等认识生物的多样性、统一性、独特性和复杂性，探究生命活动规律，解决实际问题。</w:t>
      </w:r>
    </w:p>
    <w:p>
      <w:pPr>
        <w:ind w:firstLine="420" w:firstLineChars="200"/>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第2题通过细胞中多种具膜结构之间的联系图考查学生运用结构与功能观分析问题；第21题考查了番茄叶绿体内的光反应机制和番茄细胞合成番茄红素等代谢过程，体现了物质与能量观；第15题以V型质子泵在溶酶体内部维持pH的稳态的作用机制，第18题以“智能”胰岛素IA调节血糖平衡的机制图，渗透考查了稳态与平衡观；第19题学生需要分析生物与生物、生物与环境的相互作用，运用进化与适应观阐明太平洋岛屿鸟类进化；第21题考查了急性粒细胞白血病（AML）患者的造血干细胞内基因表达中遗传信息的传递过程，第22题考查了凤眼莲与昆虫、藻类之间的信息传递，这些都考查了学生运用信息观分析问题的能力。</w:t>
      </w:r>
    </w:p>
    <w:p>
      <w:pPr>
        <w:ind w:firstLine="422" w:firstLineChars="200"/>
        <w:rPr>
          <w:rFonts w:hint="eastAsia" w:ascii="Times New Roman" w:hAnsi="Times New Roman" w:eastAsia="宋体" w:cs="Times New Roman"/>
          <w:b/>
          <w:bCs/>
          <w:color w:val="000000" w:themeColor="text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Cs w:val="21"/>
          <w:lang w:val="en-US" w:eastAsia="zh-CN"/>
          <w14:textFill>
            <w14:solidFill>
              <w14:schemeClr w14:val="tx1"/>
            </w14:solidFill>
          </w14:textFill>
        </w:rPr>
        <w:t>2. 重视推理与论证，全面考查科学思维素养</w:t>
      </w:r>
    </w:p>
    <w:p>
      <w:pPr>
        <w:ind w:firstLine="420" w:firstLineChars="200"/>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试题创设问题情境，通过设置不同层次的任务，从不同侧面考查学生的科学思维习惯和能力。要求学生能够基于事实和证据，运用归纳与概括、演绎与推理、模型与建模等科学的思维方法认识事物、解决实际问题。试题解答的过程也是问题解决的过程，在学习过程中逐步发展科学思维。</w:t>
      </w:r>
    </w:p>
    <w:p>
      <w:pPr>
        <w:ind w:firstLine="420" w:firstLineChars="200"/>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（1）以考查理解能力为立足点。</w:t>
      </w:r>
    </w:p>
    <w:p>
      <w:pPr>
        <w:ind w:firstLine="420" w:firstLineChars="200"/>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理解能力要求学生能够准确理解试题信息，去粗取精，把握试题核心本质，是从模考再到高考能力目标考查的基础。</w:t>
      </w:r>
    </w:p>
    <w:p>
      <w:pPr>
        <w:ind w:firstLine="420" w:firstLineChars="200"/>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第1题中有关生物体内元素与化合物的叙述，要求学生能对不同生物分子的特点进行比较综合后得出答案；第6题以红山动物园的生态学分析综合考查了学生生态系统概念、生物多样性保护、生殖隔离、信息传递等；第16题以东亚飞蝗为背景考查了种群密度调查和种群数量变化；第23题以人体运动对肌群的精准调控综合考查了学生对神经调节、体液调节的理解。这些都旨在引导教学立足学科基础，强化概念认知，依循教育规律开展有效教学。</w:t>
      </w:r>
    </w:p>
    <w:p>
      <w:pPr>
        <w:ind w:firstLine="420" w:firstLineChars="200"/>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（2）以考查实验探究能力为着力点。</w:t>
      </w:r>
    </w:p>
    <w:p>
      <w:pPr>
        <w:ind w:firstLine="420" w:firstLineChars="200"/>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实验能力考查一直是高考中的重点，本次考试符合高考生物中对实验探究能力的考查要求，体现了高中生物学教学的实验能力的培育目标。实验探究能力的考查包括选取实验材料、设计实验方案、分析实验结果等方面，从多个维度评价学生的能力表现。</w:t>
      </w:r>
    </w:p>
    <w:p>
      <w:pPr>
        <w:ind w:firstLine="420" w:firstLineChars="200"/>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第4题考查了4个实验操作后实验结果或目标的预测；第5题以生物科学史为背景考查了相关科学家完成相关实验所用的技术手段、实验结论等；第9题考查了发酵技术的应用；第10题考查了植物生长调节剂NAA处理扦插枝条时的操作方法；第13题考查了植物组织培养技术的相关流程及实验结果分析；第20题（3）（4）小题、第24题（3）（4）小题考查了实验结果推理分析；第21题（4）小题考查了实验原理、思路的完善及实验结论分析等。以上试题中，都体现了本次考试对实验探究能力考查的强化，旨在引导生物学教学回归学科本质、加强实验教学，助力学科核心素养的发展。</w:t>
      </w:r>
    </w:p>
    <w:p>
      <w:pPr>
        <w:ind w:firstLine="420" w:firstLineChars="200"/>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（3）以考查解决问题能力为闪光点。</w:t>
      </w:r>
    </w:p>
    <w:p>
      <w:pPr>
        <w:ind w:firstLine="420" w:firstLineChars="200"/>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高考生物往往在真实问题情境中考查学生解决问题的能力，有助于选拔具有创新意识和创新能力的学生，助力国家创新驱动发展战略。本次考试通过创设联系日常生活、生产实践、科学研究等问题情境，引导学生深入思考，寻求解决问题的方法，引导学生从“解题”向“解决问题”转变，有助于学生在后期的二轮复习不断提升各种能力。</w:t>
      </w:r>
    </w:p>
    <w:p>
      <w:pPr>
        <w:ind w:firstLine="420" w:firstLineChars="200"/>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第21题以慢性粒细胞白血病（CML）主要致病机理分析考查了变异类型判断、药物的治疗机理推测等；第22题要求学生能根据科研人员水体检测表格数据分析选择治理水体污染最好的生物并说明理由；第24题整合了基因工程、胚胎工程等相关生物工程技术原理的综合考查，要求学生能看懂乳腺特异性表达载体及PCR检测原理图并根据图形的比较做大胆推测并给出问题解决方案。这些相关问题的考查都需要学生有较强的图形信息提取与转化能力、逻辑推理判断能力，也充分考查了学生基于生物学事实和证据的批判性思维、创造性思维，以及考生探讨、阐释生命现象及规律，审视或论证生物学社会议题的能力。</w:t>
      </w:r>
    </w:p>
    <w:p>
      <w:pPr>
        <w:ind w:firstLine="422" w:firstLineChars="200"/>
        <w:rPr>
          <w:rFonts w:hint="eastAsia" w:ascii="Times New Roman" w:hAnsi="Times New Roman" w:eastAsia="宋体" w:cs="Times New Roman"/>
          <w:b/>
          <w:bCs/>
          <w:color w:val="000000" w:themeColor="text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Cs w:val="21"/>
          <w:lang w:val="en-US" w:eastAsia="zh-CN"/>
          <w14:textFill>
            <w14:solidFill>
              <w14:schemeClr w14:val="tx1"/>
            </w14:solidFill>
          </w14:textFill>
        </w:rPr>
        <w:t>3. 着眼个人与社会事务，培育社会责任和担当</w:t>
      </w:r>
    </w:p>
    <w:p>
      <w:pPr>
        <w:ind w:firstLine="420" w:firstLineChars="200"/>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本次试题也从不同角度引用与生命科学相关的突出成就和热点问题，引导学生以造福人类的态度和价值观站位，运用生物学的知识和方法，讨论生态环保和健康中国等社会议题。题目材料展示我国科研成果和治国理政的措施，增强学生科技自信、文化自信和制度自信。</w:t>
      </w:r>
    </w:p>
    <w:p>
      <w:pPr>
        <w:ind w:firstLine="420" w:firstLineChars="200"/>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第11题，通过对南京市政府为在校初一适龄女生免费接种HPV疫苗的政策宣传和首次注射HPV疫苗引起机体发生免疫反应的机理分析，让学生既能理解政策背后相关的生物学原理，也能鼓励学生向他人宣传关爱生命的观念和知识，崇尚健康文明的生活方式，成为健康中国的促进者和实践者。</w:t>
      </w:r>
    </w:p>
    <w:p>
      <w:pPr>
        <w:ind w:firstLine="420" w:firstLineChars="200"/>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第14题以科研人员利用干细胞培养生产可食用“人造肉”的基本流程为背景，选项中考查了评价人造肉质量的标准以及从食品安全角度考虑能否添加抗生素，让学生体会生物技术的应用前景及应用可能存在的问题，辩证地看待生物技术对人类健康生活带来的影响。</w:t>
      </w:r>
    </w:p>
    <w:p>
      <w:pPr>
        <w:ind w:firstLine="420" w:firstLineChars="200"/>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第22题以南京秦淮河污水治理为背景，让学生树立“绿水青山就是金山银山”的理念，形成生态意识，增强参与环境保护实践的愿景。</w:t>
      </w:r>
    </w:p>
    <w:p>
      <w:pPr>
        <w:ind w:firstLine="420" w:firstLineChars="200"/>
        <w:rPr>
          <w:rFonts w:hint="default"/>
          <w:b w:val="0"/>
          <w:bCs/>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第24题，以培育rhPA转基因兔作为乳腺生物反应器批量生产溶血栓的药物过程为背景，让学生感受科研成果对保护人类健康的突出贡献。</w:t>
      </w:r>
    </w:p>
    <w:p>
      <w:pPr>
        <w:rPr>
          <w:rFonts w:eastAsia="黑体"/>
          <w:b/>
          <w:color w:val="000000" w:themeColor="text1"/>
          <w:sz w:val="24"/>
          <w14:textFill>
            <w14:solidFill>
              <w14:schemeClr w14:val="tx1"/>
            </w14:solidFill>
          </w14:textFill>
        </w:rPr>
      </w:pPr>
      <w:r>
        <w:rPr>
          <w:rFonts w:hint="eastAsia" w:eastAsia="黑体"/>
          <w:b/>
          <w:color w:val="000000" w:themeColor="text1"/>
          <w:sz w:val="24"/>
          <w14:textFill>
            <w14:solidFill>
              <w14:schemeClr w14:val="tx1"/>
            </w14:solidFill>
          </w14:textFill>
        </w:rPr>
        <w:t>四、考试相关数据</w:t>
      </w:r>
    </w:p>
    <w:p>
      <w:pPr>
        <w:adjustRightInd w:val="0"/>
        <w:snapToGrid w:val="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（一）</w:t>
      </w:r>
      <w:r>
        <w:rPr>
          <w:b/>
          <w:bCs/>
          <w:color w:val="000000" w:themeColor="text1"/>
          <w:sz w:val="24"/>
          <w14:textFill>
            <w14:solidFill>
              <w14:schemeClr w14:val="tx1"/>
            </w14:solidFill>
          </w14:textFill>
        </w:rPr>
        <w:t>全市总体情况</w:t>
      </w:r>
      <w:r>
        <w:rPr>
          <w:rFonts w:hint="eastAsia"/>
          <w:b/>
          <w:bCs/>
          <w:color w:val="000000" w:themeColor="text1"/>
          <w:sz w:val="24"/>
          <w14:textFill>
            <w14:solidFill>
              <w14:schemeClr w14:val="tx1"/>
            </w14:solidFill>
          </w14:textFill>
        </w:rPr>
        <w:t>：</w:t>
      </w:r>
    </w:p>
    <w:tbl>
      <w:tblPr>
        <w:tblStyle w:val="3"/>
        <w:tblW w:w="4910" w:type="pct"/>
        <w:tblInd w:w="1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88"/>
        <w:gridCol w:w="1193"/>
        <w:gridCol w:w="954"/>
        <w:gridCol w:w="954"/>
        <w:gridCol w:w="954"/>
        <w:gridCol w:w="954"/>
        <w:gridCol w:w="717"/>
        <w:gridCol w:w="9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1008" w:type="pct"/>
            <w:noWrap/>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总人数</w:t>
            </w:r>
          </w:p>
        </w:tc>
        <w:tc>
          <w:tcPr>
            <w:tcW w:w="712" w:type="pct"/>
            <w:noWrap/>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参考人数</w:t>
            </w:r>
          </w:p>
        </w:tc>
        <w:tc>
          <w:tcPr>
            <w:tcW w:w="569" w:type="pct"/>
            <w:noWrap/>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平均分</w:t>
            </w:r>
          </w:p>
        </w:tc>
        <w:tc>
          <w:tcPr>
            <w:tcW w:w="569" w:type="pct"/>
            <w:noWrap/>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最高分</w:t>
            </w:r>
          </w:p>
        </w:tc>
        <w:tc>
          <w:tcPr>
            <w:tcW w:w="569" w:type="pct"/>
            <w:noWrap/>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优秀率</w:t>
            </w:r>
          </w:p>
        </w:tc>
        <w:tc>
          <w:tcPr>
            <w:tcW w:w="569" w:type="pct"/>
            <w:noWrap/>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良好率</w:t>
            </w:r>
          </w:p>
        </w:tc>
        <w:tc>
          <w:tcPr>
            <w:tcW w:w="428" w:type="pct"/>
            <w:noWrap/>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难度</w:t>
            </w:r>
          </w:p>
        </w:tc>
        <w:tc>
          <w:tcPr>
            <w:tcW w:w="570" w:type="pct"/>
            <w:noWrap/>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区分度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1008" w:type="pct"/>
            <w:noWrap/>
            <w:vAlign w:val="center"/>
          </w:tcPr>
          <w:p>
            <w:pPr>
              <w:jc w:val="center"/>
              <w:rPr>
                <w:color w:val="000000" w:themeColor="text1"/>
                <w:szCs w:val="21"/>
                <w14:textFill>
                  <w14:solidFill>
                    <w14:schemeClr w14:val="tx1"/>
                  </w14:solidFill>
                </w14:textFill>
              </w:rPr>
            </w:pPr>
            <w:r>
              <w:rPr>
                <w:rFonts w:hint="default"/>
                <w:color w:val="000000" w:themeColor="text1"/>
                <w:szCs w:val="21"/>
                <w:lang w:val="en-US" w:eastAsia="zh-CN"/>
                <w14:textFill>
                  <w14:solidFill>
                    <w14:schemeClr w14:val="tx1"/>
                  </w14:solidFill>
                </w14:textFill>
              </w:rPr>
              <w:t>18205</w:t>
            </w:r>
          </w:p>
        </w:tc>
        <w:tc>
          <w:tcPr>
            <w:tcW w:w="712" w:type="pct"/>
            <w:noWrap/>
            <w:vAlign w:val="center"/>
          </w:tcPr>
          <w:p>
            <w:pPr>
              <w:jc w:val="center"/>
              <w:rPr>
                <w:color w:val="000000" w:themeColor="text1"/>
                <w:szCs w:val="21"/>
                <w14:textFill>
                  <w14:solidFill>
                    <w14:schemeClr w14:val="tx1"/>
                  </w14:solidFill>
                </w14:textFill>
              </w:rPr>
            </w:pPr>
            <w:r>
              <w:rPr>
                <w:rFonts w:hint="default"/>
                <w:color w:val="000000" w:themeColor="text1"/>
                <w:szCs w:val="21"/>
                <w:lang w:val="en-US" w:eastAsia="zh-CN"/>
                <w14:textFill>
                  <w14:solidFill>
                    <w14:schemeClr w14:val="tx1"/>
                  </w14:solidFill>
                </w14:textFill>
              </w:rPr>
              <w:t>16639</w:t>
            </w:r>
          </w:p>
        </w:tc>
        <w:tc>
          <w:tcPr>
            <w:tcW w:w="569" w:type="pct"/>
            <w:noWrap/>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59.</w:t>
            </w:r>
            <w:r>
              <w:rPr>
                <w:rFonts w:hint="eastAsia"/>
                <w:color w:val="000000" w:themeColor="text1"/>
                <w:szCs w:val="21"/>
                <w:lang w:val="en-US" w:eastAsia="zh-CN"/>
                <w14:textFill>
                  <w14:solidFill>
                    <w14:schemeClr w14:val="tx1"/>
                  </w14:solidFill>
                </w14:textFill>
              </w:rPr>
              <w:t>42</w:t>
            </w:r>
          </w:p>
        </w:tc>
        <w:tc>
          <w:tcPr>
            <w:tcW w:w="569" w:type="pct"/>
            <w:noWrap/>
            <w:vAlign w:val="center"/>
          </w:tcPr>
          <w:p>
            <w:pPr>
              <w:jc w:val="center"/>
              <w:rPr>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95</w:t>
            </w:r>
          </w:p>
        </w:tc>
        <w:tc>
          <w:tcPr>
            <w:tcW w:w="569" w:type="pct"/>
            <w:noWrap/>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10.2</w:t>
            </w:r>
          </w:p>
        </w:tc>
        <w:tc>
          <w:tcPr>
            <w:tcW w:w="569" w:type="pct"/>
            <w:noWrap/>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28.5</w:t>
            </w:r>
          </w:p>
        </w:tc>
        <w:tc>
          <w:tcPr>
            <w:tcW w:w="717" w:type="dxa"/>
            <w:noWrap/>
            <w:vAlign w:val="center"/>
          </w:tcPr>
          <w:p>
            <w:pPr>
              <w:jc w:val="center"/>
              <w:rPr>
                <w:color w:val="000000" w:themeColor="text1"/>
                <w:szCs w:val="21"/>
                <w14:textFill>
                  <w14:solidFill>
                    <w14:schemeClr w14:val="tx1"/>
                  </w14:solidFill>
                </w14:textFill>
              </w:rPr>
            </w:pPr>
            <w:r>
              <w:rPr>
                <w:rFonts w:hint="default"/>
                <w:color w:val="000000" w:themeColor="text1"/>
                <w:szCs w:val="21"/>
                <w:lang w:val="en-US" w:eastAsia="zh-CN"/>
                <w14:textFill>
                  <w14:solidFill>
                    <w14:schemeClr w14:val="tx1"/>
                  </w14:solidFill>
                </w14:textFill>
              </w:rPr>
              <w:t>0.59</w:t>
            </w:r>
          </w:p>
        </w:tc>
        <w:tc>
          <w:tcPr>
            <w:tcW w:w="955" w:type="dxa"/>
            <w:noWrap/>
            <w:vAlign w:val="center"/>
          </w:tcPr>
          <w:p>
            <w:pPr>
              <w:jc w:val="center"/>
              <w:rPr>
                <w:color w:val="000000" w:themeColor="text1"/>
                <w:szCs w:val="21"/>
                <w14:textFill>
                  <w14:solidFill>
                    <w14:schemeClr w14:val="tx1"/>
                  </w14:solidFill>
                </w14:textFill>
              </w:rPr>
            </w:pPr>
            <w:r>
              <w:rPr>
                <w:rFonts w:hint="default"/>
                <w:color w:val="000000" w:themeColor="text1"/>
                <w:szCs w:val="21"/>
                <w:lang w:val="en-US" w:eastAsia="zh-CN"/>
                <w14:textFill>
                  <w14:solidFill>
                    <w14:schemeClr w14:val="tx1"/>
                  </w14:solidFill>
                </w14:textFill>
              </w:rPr>
              <w:t>0.38</w:t>
            </w:r>
          </w:p>
        </w:tc>
      </w:tr>
    </w:tbl>
    <w:tbl>
      <w:tblPr>
        <w:tblStyle w:val="3"/>
        <w:tblpPr w:leftFromText="180" w:rightFromText="180" w:vertAnchor="text" w:horzAnchor="page" w:tblpX="1930" w:tblpY="122"/>
        <w:tblW w:w="4873"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50"/>
        <w:gridCol w:w="2093"/>
        <w:gridCol w:w="1902"/>
        <w:gridCol w:w="25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atLeast"/>
        </w:trPr>
        <w:tc>
          <w:tcPr>
            <w:tcW w:w="1053" w:type="pct"/>
            <w:shd w:val="clear" w:color="auto" w:fill="auto"/>
            <w:noWrap/>
            <w:vAlign w:val="center"/>
          </w:tcPr>
          <w:p>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参考</w:t>
            </w:r>
            <w:r>
              <w:rPr>
                <w:color w:val="000000" w:themeColor="text1"/>
                <w:szCs w:val="21"/>
                <w14:textFill>
                  <w14:solidFill>
                    <w14:schemeClr w14:val="tx1"/>
                  </w14:solidFill>
                </w14:textFill>
              </w:rPr>
              <w:t>人数</w:t>
            </w:r>
          </w:p>
        </w:tc>
        <w:tc>
          <w:tcPr>
            <w:tcW w:w="1259" w:type="pct"/>
            <w:shd w:val="clear" w:color="auto" w:fill="auto"/>
            <w:noWrap/>
            <w:vAlign w:val="center"/>
          </w:tcPr>
          <w:p>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原始分</w:t>
            </w:r>
            <w:r>
              <w:rPr>
                <w:color w:val="000000" w:themeColor="text1"/>
                <w:szCs w:val="21"/>
                <w14:textFill>
                  <w14:solidFill>
                    <w14:schemeClr w14:val="tx1"/>
                  </w14:solidFill>
                </w14:textFill>
              </w:rPr>
              <w:t>总</w:t>
            </w:r>
            <w:r>
              <w:rPr>
                <w:rFonts w:hint="eastAsia"/>
                <w:color w:val="000000" w:themeColor="text1"/>
                <w:szCs w:val="21"/>
                <w:lang w:val="en-US" w:eastAsia="zh-CN"/>
                <w14:textFill>
                  <w14:solidFill>
                    <w14:schemeClr w14:val="tx1"/>
                  </w14:solidFill>
                </w14:textFill>
              </w:rPr>
              <w:t>均</w:t>
            </w:r>
            <w:r>
              <w:rPr>
                <w:color w:val="000000" w:themeColor="text1"/>
                <w:szCs w:val="21"/>
                <w14:textFill>
                  <w14:solidFill>
                    <w14:schemeClr w14:val="tx1"/>
                  </w14:solidFill>
                </w14:textFill>
              </w:rPr>
              <w:t>分</w:t>
            </w:r>
          </w:p>
        </w:tc>
        <w:tc>
          <w:tcPr>
            <w:tcW w:w="1144" w:type="pct"/>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一卷</w:t>
            </w:r>
          </w:p>
        </w:tc>
        <w:tc>
          <w:tcPr>
            <w:tcW w:w="1541" w:type="pct"/>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二卷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5" w:hRule="atLeast"/>
        </w:trPr>
        <w:tc>
          <w:tcPr>
            <w:tcW w:w="1053" w:type="pct"/>
            <w:shd w:val="clear" w:color="auto" w:fill="auto"/>
            <w:noWrap/>
            <w:vAlign w:val="center"/>
          </w:tcPr>
          <w:p>
            <w:pPr>
              <w:jc w:val="center"/>
              <w:rPr>
                <w:color w:val="000000" w:themeColor="text1"/>
                <w:szCs w:val="21"/>
                <w14:textFill>
                  <w14:solidFill>
                    <w14:schemeClr w14:val="tx1"/>
                  </w14:solidFill>
                </w14:textFill>
              </w:rPr>
            </w:pPr>
            <w:r>
              <w:rPr>
                <w:rFonts w:hint="default"/>
                <w:color w:val="000000" w:themeColor="text1"/>
                <w:szCs w:val="21"/>
                <w:lang w:val="en-US" w:eastAsia="zh-CN"/>
                <w14:textFill>
                  <w14:solidFill>
                    <w14:schemeClr w14:val="tx1"/>
                  </w14:solidFill>
                </w14:textFill>
              </w:rPr>
              <w:t>16639</w:t>
            </w:r>
          </w:p>
        </w:tc>
        <w:tc>
          <w:tcPr>
            <w:tcW w:w="1259" w:type="pct"/>
            <w:shd w:val="clear" w:color="auto" w:fill="auto"/>
            <w:noWrap/>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59.42</w:t>
            </w:r>
          </w:p>
        </w:tc>
        <w:tc>
          <w:tcPr>
            <w:tcW w:w="1144" w:type="pct"/>
            <w:shd w:val="clear" w:color="auto" w:fill="auto"/>
            <w:noWrap/>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25.99</w:t>
            </w:r>
          </w:p>
        </w:tc>
        <w:tc>
          <w:tcPr>
            <w:tcW w:w="1541" w:type="pct"/>
            <w:shd w:val="clear" w:color="auto" w:fill="auto"/>
            <w:noWrap/>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33.43</w:t>
            </w:r>
          </w:p>
        </w:tc>
      </w:tr>
    </w:tbl>
    <w:p>
      <w:pPr>
        <w:adjustRightInd w:val="0"/>
        <w:snapToGrid w:val="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（二）各题得分率：</w:t>
      </w:r>
    </w:p>
    <w:p>
      <w:pPr>
        <w:adjustRightInd w:val="0"/>
        <w:snapToGrid w:val="0"/>
        <w:ind w:firstLine="420"/>
        <w:rPr>
          <w:color w:val="000000" w:themeColor="text1"/>
          <w:szCs w:val="21"/>
          <w14:textFill>
            <w14:solidFill>
              <w14:schemeClr w14:val="tx1"/>
            </w14:solidFill>
          </w14:textFill>
        </w:rPr>
      </w:pPr>
      <w:r>
        <w:rPr>
          <w:rFonts w:hint="eastAsia"/>
          <w:b/>
          <w:bCs/>
          <w:color w:val="000000" w:themeColor="text1"/>
          <w:sz w:val="24"/>
          <w14:textFill>
            <w14:solidFill>
              <w14:schemeClr w14:val="tx1"/>
            </w14:solidFill>
          </w14:textFill>
        </w:rPr>
        <w:t>1.选择题得分率   均分：</w:t>
      </w:r>
      <w:r>
        <w:rPr>
          <w:rFonts w:hint="eastAsia"/>
          <w:b/>
          <w:bCs/>
          <w:color w:val="000000" w:themeColor="text1"/>
          <w:sz w:val="24"/>
          <w:u w:val="single"/>
          <w14:textFill>
            <w14:solidFill>
              <w14:schemeClr w14:val="tx1"/>
            </w14:solidFill>
          </w14:textFill>
        </w:rPr>
        <w:t xml:space="preserve"> </w:t>
      </w:r>
      <w:r>
        <w:rPr>
          <w:rFonts w:hint="eastAsia"/>
          <w:b/>
          <w:bCs/>
          <w:color w:val="000000" w:themeColor="text1"/>
          <w:sz w:val="24"/>
          <w:u w:val="single"/>
          <w:lang w:val="en-US" w:eastAsia="zh-CN"/>
          <w14:textFill>
            <w14:solidFill>
              <w14:schemeClr w14:val="tx1"/>
            </w14:solidFill>
          </w14:textFill>
        </w:rPr>
        <w:t xml:space="preserve"> 25.99  </w:t>
      </w:r>
      <w:r>
        <w:rPr>
          <w:rFonts w:hint="eastAsia"/>
          <w:b/>
          <w:bCs/>
          <w:color w:val="000000" w:themeColor="text1"/>
          <w:sz w:val="24"/>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p>
    <w:tbl>
      <w:tblPr>
        <w:tblStyle w:val="3"/>
        <w:tblpPr w:leftFromText="180" w:rightFromText="180" w:vertAnchor="text" w:horzAnchor="page" w:tblpX="1571" w:tblpY="137"/>
        <w:tblOverlap w:val="never"/>
        <w:tblW w:w="528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35"/>
        <w:gridCol w:w="757"/>
        <w:gridCol w:w="757"/>
        <w:gridCol w:w="757"/>
        <w:gridCol w:w="757"/>
        <w:gridCol w:w="757"/>
        <w:gridCol w:w="757"/>
        <w:gridCol w:w="757"/>
        <w:gridCol w:w="759"/>
        <w:gridCol w:w="759"/>
        <w:gridCol w:w="7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4" w:hRule="atLeast"/>
        </w:trPr>
        <w:tc>
          <w:tcPr>
            <w:tcW w:w="796" w:type="pct"/>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题号</w:t>
            </w:r>
          </w:p>
        </w:tc>
        <w:tc>
          <w:tcPr>
            <w:tcW w:w="420" w:type="pct"/>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1</w:t>
            </w:r>
          </w:p>
        </w:tc>
        <w:tc>
          <w:tcPr>
            <w:tcW w:w="420" w:type="pct"/>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2</w:t>
            </w:r>
          </w:p>
        </w:tc>
        <w:tc>
          <w:tcPr>
            <w:tcW w:w="420" w:type="pct"/>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3</w:t>
            </w:r>
          </w:p>
        </w:tc>
        <w:tc>
          <w:tcPr>
            <w:tcW w:w="420" w:type="pct"/>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4</w:t>
            </w:r>
          </w:p>
        </w:tc>
        <w:tc>
          <w:tcPr>
            <w:tcW w:w="420" w:type="pct"/>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5</w:t>
            </w:r>
          </w:p>
        </w:tc>
        <w:tc>
          <w:tcPr>
            <w:tcW w:w="420" w:type="pct"/>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6</w:t>
            </w:r>
          </w:p>
        </w:tc>
        <w:tc>
          <w:tcPr>
            <w:tcW w:w="420" w:type="pct"/>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7</w:t>
            </w:r>
          </w:p>
        </w:tc>
        <w:tc>
          <w:tcPr>
            <w:tcW w:w="421" w:type="pct"/>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8</w:t>
            </w:r>
          </w:p>
        </w:tc>
        <w:tc>
          <w:tcPr>
            <w:tcW w:w="421" w:type="pct"/>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9</w:t>
            </w:r>
          </w:p>
        </w:tc>
        <w:tc>
          <w:tcPr>
            <w:tcW w:w="421" w:type="pct"/>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4" w:hRule="atLeast"/>
        </w:trPr>
        <w:tc>
          <w:tcPr>
            <w:tcW w:w="796" w:type="pct"/>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分值</w:t>
            </w:r>
          </w:p>
        </w:tc>
        <w:tc>
          <w:tcPr>
            <w:tcW w:w="420" w:type="pct"/>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2</w:t>
            </w:r>
          </w:p>
        </w:tc>
        <w:tc>
          <w:tcPr>
            <w:tcW w:w="420" w:type="pct"/>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2</w:t>
            </w:r>
          </w:p>
        </w:tc>
        <w:tc>
          <w:tcPr>
            <w:tcW w:w="420" w:type="pct"/>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2</w:t>
            </w:r>
          </w:p>
        </w:tc>
        <w:tc>
          <w:tcPr>
            <w:tcW w:w="420" w:type="pct"/>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2</w:t>
            </w:r>
          </w:p>
        </w:tc>
        <w:tc>
          <w:tcPr>
            <w:tcW w:w="420" w:type="pct"/>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2</w:t>
            </w:r>
          </w:p>
        </w:tc>
        <w:tc>
          <w:tcPr>
            <w:tcW w:w="420" w:type="pct"/>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2</w:t>
            </w:r>
          </w:p>
        </w:tc>
        <w:tc>
          <w:tcPr>
            <w:tcW w:w="420" w:type="pct"/>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2</w:t>
            </w:r>
          </w:p>
        </w:tc>
        <w:tc>
          <w:tcPr>
            <w:tcW w:w="421" w:type="pct"/>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2</w:t>
            </w:r>
          </w:p>
        </w:tc>
        <w:tc>
          <w:tcPr>
            <w:tcW w:w="421" w:type="pct"/>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2</w:t>
            </w:r>
          </w:p>
        </w:tc>
        <w:tc>
          <w:tcPr>
            <w:tcW w:w="421" w:type="pct"/>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4" w:hRule="atLeast"/>
        </w:trPr>
        <w:tc>
          <w:tcPr>
            <w:tcW w:w="796" w:type="pct"/>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均分</w:t>
            </w:r>
          </w:p>
        </w:tc>
        <w:tc>
          <w:tcPr>
            <w:tcW w:w="757" w:type="dxa"/>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1.94</w:t>
            </w:r>
          </w:p>
        </w:tc>
        <w:tc>
          <w:tcPr>
            <w:tcW w:w="757" w:type="dxa"/>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1.11</w:t>
            </w:r>
          </w:p>
        </w:tc>
        <w:tc>
          <w:tcPr>
            <w:tcW w:w="757" w:type="dxa"/>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1.45</w:t>
            </w:r>
          </w:p>
        </w:tc>
        <w:tc>
          <w:tcPr>
            <w:tcW w:w="757" w:type="dxa"/>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1.36</w:t>
            </w:r>
          </w:p>
        </w:tc>
        <w:tc>
          <w:tcPr>
            <w:tcW w:w="757" w:type="dxa"/>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1.43</w:t>
            </w:r>
          </w:p>
        </w:tc>
        <w:tc>
          <w:tcPr>
            <w:tcW w:w="757" w:type="dxa"/>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1.45</w:t>
            </w:r>
          </w:p>
        </w:tc>
        <w:tc>
          <w:tcPr>
            <w:tcW w:w="757" w:type="dxa"/>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0.6</w:t>
            </w:r>
          </w:p>
        </w:tc>
        <w:tc>
          <w:tcPr>
            <w:tcW w:w="759" w:type="dxa"/>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1.51</w:t>
            </w:r>
          </w:p>
        </w:tc>
        <w:tc>
          <w:tcPr>
            <w:tcW w:w="759" w:type="dxa"/>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1.16</w:t>
            </w:r>
          </w:p>
        </w:tc>
        <w:tc>
          <w:tcPr>
            <w:tcW w:w="759" w:type="dxa"/>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4" w:hRule="atLeast"/>
        </w:trPr>
        <w:tc>
          <w:tcPr>
            <w:tcW w:w="796" w:type="pct"/>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得分率(%)</w:t>
            </w:r>
          </w:p>
        </w:tc>
        <w:tc>
          <w:tcPr>
            <w:tcW w:w="757" w:type="dxa"/>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96.8</w:t>
            </w:r>
          </w:p>
        </w:tc>
        <w:tc>
          <w:tcPr>
            <w:tcW w:w="757" w:type="dxa"/>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55.5</w:t>
            </w:r>
          </w:p>
        </w:tc>
        <w:tc>
          <w:tcPr>
            <w:tcW w:w="757" w:type="dxa"/>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72.4</w:t>
            </w:r>
          </w:p>
        </w:tc>
        <w:tc>
          <w:tcPr>
            <w:tcW w:w="757" w:type="dxa"/>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67.9</w:t>
            </w:r>
          </w:p>
        </w:tc>
        <w:tc>
          <w:tcPr>
            <w:tcW w:w="757" w:type="dxa"/>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71.6</w:t>
            </w:r>
          </w:p>
        </w:tc>
        <w:tc>
          <w:tcPr>
            <w:tcW w:w="757" w:type="dxa"/>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72.5</w:t>
            </w:r>
          </w:p>
        </w:tc>
        <w:tc>
          <w:tcPr>
            <w:tcW w:w="757" w:type="dxa"/>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30.2</w:t>
            </w:r>
          </w:p>
        </w:tc>
        <w:tc>
          <w:tcPr>
            <w:tcW w:w="759" w:type="dxa"/>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75.5</w:t>
            </w:r>
          </w:p>
        </w:tc>
        <w:tc>
          <w:tcPr>
            <w:tcW w:w="759" w:type="dxa"/>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58.1</w:t>
            </w:r>
          </w:p>
        </w:tc>
        <w:tc>
          <w:tcPr>
            <w:tcW w:w="759" w:type="dxa"/>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50.1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796" w:type="pct"/>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题号</w:t>
            </w:r>
          </w:p>
        </w:tc>
        <w:tc>
          <w:tcPr>
            <w:tcW w:w="420" w:type="pct"/>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11</w:t>
            </w:r>
          </w:p>
        </w:tc>
        <w:tc>
          <w:tcPr>
            <w:tcW w:w="420" w:type="pct"/>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12</w:t>
            </w:r>
          </w:p>
        </w:tc>
        <w:tc>
          <w:tcPr>
            <w:tcW w:w="420" w:type="pct"/>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13</w:t>
            </w:r>
          </w:p>
        </w:tc>
        <w:tc>
          <w:tcPr>
            <w:tcW w:w="420" w:type="pct"/>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14</w:t>
            </w:r>
          </w:p>
        </w:tc>
        <w:tc>
          <w:tcPr>
            <w:tcW w:w="420" w:type="pct"/>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15</w:t>
            </w:r>
          </w:p>
        </w:tc>
        <w:tc>
          <w:tcPr>
            <w:tcW w:w="420" w:type="pct"/>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16</w:t>
            </w:r>
          </w:p>
        </w:tc>
        <w:tc>
          <w:tcPr>
            <w:tcW w:w="420" w:type="pct"/>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17</w:t>
            </w:r>
          </w:p>
        </w:tc>
        <w:tc>
          <w:tcPr>
            <w:tcW w:w="421" w:type="pct"/>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18</w:t>
            </w:r>
          </w:p>
        </w:tc>
        <w:tc>
          <w:tcPr>
            <w:tcW w:w="421" w:type="pct"/>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19</w:t>
            </w:r>
          </w:p>
        </w:tc>
        <w:tc>
          <w:tcPr>
            <w:tcW w:w="421" w:type="pct"/>
          </w:tcPr>
          <w:p>
            <w:pPr>
              <w:jc w:val="center"/>
              <w:rPr>
                <w:rFonts w:hint="default"/>
                <w:color w:val="000000" w:themeColor="text1"/>
                <w:szCs w:val="21"/>
                <w:lang w:val="en-US" w:eastAsia="zh-CN"/>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4" w:hRule="atLeast"/>
        </w:trPr>
        <w:tc>
          <w:tcPr>
            <w:tcW w:w="796" w:type="pct"/>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分值</w:t>
            </w:r>
          </w:p>
        </w:tc>
        <w:tc>
          <w:tcPr>
            <w:tcW w:w="420" w:type="pct"/>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2</w:t>
            </w:r>
          </w:p>
        </w:tc>
        <w:tc>
          <w:tcPr>
            <w:tcW w:w="420" w:type="pct"/>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2</w:t>
            </w:r>
          </w:p>
        </w:tc>
        <w:tc>
          <w:tcPr>
            <w:tcW w:w="420" w:type="pct"/>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2</w:t>
            </w:r>
          </w:p>
        </w:tc>
        <w:tc>
          <w:tcPr>
            <w:tcW w:w="420" w:type="pct"/>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2</w:t>
            </w:r>
          </w:p>
        </w:tc>
        <w:tc>
          <w:tcPr>
            <w:tcW w:w="420" w:type="pct"/>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3</w:t>
            </w:r>
          </w:p>
        </w:tc>
        <w:tc>
          <w:tcPr>
            <w:tcW w:w="420" w:type="pct"/>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3</w:t>
            </w:r>
          </w:p>
        </w:tc>
        <w:tc>
          <w:tcPr>
            <w:tcW w:w="420" w:type="pct"/>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3</w:t>
            </w:r>
          </w:p>
        </w:tc>
        <w:tc>
          <w:tcPr>
            <w:tcW w:w="421" w:type="pct"/>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3</w:t>
            </w:r>
          </w:p>
        </w:tc>
        <w:tc>
          <w:tcPr>
            <w:tcW w:w="421" w:type="pct"/>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3</w:t>
            </w:r>
          </w:p>
        </w:tc>
        <w:tc>
          <w:tcPr>
            <w:tcW w:w="421" w:type="pct"/>
          </w:tcPr>
          <w:p>
            <w:pPr>
              <w:jc w:val="center"/>
              <w:rPr>
                <w:rFonts w:hint="default"/>
                <w:color w:val="000000" w:themeColor="text1"/>
                <w:szCs w:val="21"/>
                <w:lang w:val="en-US" w:eastAsia="zh-CN"/>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4" w:hRule="atLeast"/>
        </w:trPr>
        <w:tc>
          <w:tcPr>
            <w:tcW w:w="796" w:type="pct"/>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均分</w:t>
            </w:r>
          </w:p>
        </w:tc>
        <w:tc>
          <w:tcPr>
            <w:tcW w:w="757" w:type="dxa"/>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1.54</w:t>
            </w:r>
          </w:p>
        </w:tc>
        <w:tc>
          <w:tcPr>
            <w:tcW w:w="757" w:type="dxa"/>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0.71</w:t>
            </w:r>
          </w:p>
        </w:tc>
        <w:tc>
          <w:tcPr>
            <w:tcW w:w="757" w:type="dxa"/>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1.62</w:t>
            </w:r>
          </w:p>
        </w:tc>
        <w:tc>
          <w:tcPr>
            <w:tcW w:w="757" w:type="dxa"/>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0.73</w:t>
            </w:r>
          </w:p>
        </w:tc>
        <w:tc>
          <w:tcPr>
            <w:tcW w:w="757" w:type="dxa"/>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2.11</w:t>
            </w:r>
          </w:p>
        </w:tc>
        <w:tc>
          <w:tcPr>
            <w:tcW w:w="757" w:type="dxa"/>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1.87</w:t>
            </w:r>
          </w:p>
        </w:tc>
        <w:tc>
          <w:tcPr>
            <w:tcW w:w="757" w:type="dxa"/>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1.15</w:t>
            </w:r>
          </w:p>
        </w:tc>
        <w:tc>
          <w:tcPr>
            <w:tcW w:w="759" w:type="dxa"/>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1.83</w:t>
            </w:r>
          </w:p>
        </w:tc>
        <w:tc>
          <w:tcPr>
            <w:tcW w:w="759" w:type="dxa"/>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1.44</w:t>
            </w:r>
          </w:p>
        </w:tc>
        <w:tc>
          <w:tcPr>
            <w:tcW w:w="421" w:type="pct"/>
          </w:tcPr>
          <w:p>
            <w:pPr>
              <w:jc w:val="center"/>
              <w:rPr>
                <w:rFonts w:hint="default"/>
                <w:color w:val="000000" w:themeColor="text1"/>
                <w:szCs w:val="21"/>
                <w:lang w:val="en-US" w:eastAsia="zh-CN"/>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4" w:hRule="atLeast"/>
        </w:trPr>
        <w:tc>
          <w:tcPr>
            <w:tcW w:w="796" w:type="pct"/>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得分率(%)</w:t>
            </w:r>
          </w:p>
        </w:tc>
        <w:tc>
          <w:tcPr>
            <w:tcW w:w="757" w:type="dxa"/>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77.1</w:t>
            </w:r>
          </w:p>
        </w:tc>
        <w:tc>
          <w:tcPr>
            <w:tcW w:w="757" w:type="dxa"/>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35.7</w:t>
            </w:r>
          </w:p>
        </w:tc>
        <w:tc>
          <w:tcPr>
            <w:tcW w:w="757" w:type="dxa"/>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81</w:t>
            </w:r>
          </w:p>
        </w:tc>
        <w:tc>
          <w:tcPr>
            <w:tcW w:w="757" w:type="dxa"/>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36.3</w:t>
            </w:r>
          </w:p>
        </w:tc>
        <w:tc>
          <w:tcPr>
            <w:tcW w:w="757" w:type="dxa"/>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70.3</w:t>
            </w:r>
          </w:p>
        </w:tc>
        <w:tc>
          <w:tcPr>
            <w:tcW w:w="757" w:type="dxa"/>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62.2</w:t>
            </w:r>
          </w:p>
        </w:tc>
        <w:tc>
          <w:tcPr>
            <w:tcW w:w="757" w:type="dxa"/>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38.2</w:t>
            </w:r>
          </w:p>
        </w:tc>
        <w:tc>
          <w:tcPr>
            <w:tcW w:w="759" w:type="dxa"/>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61.1</w:t>
            </w:r>
          </w:p>
        </w:tc>
        <w:tc>
          <w:tcPr>
            <w:tcW w:w="759" w:type="dxa"/>
            <w:vAlign w:val="center"/>
          </w:tcPr>
          <w:p>
            <w:pPr>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47.9</w:t>
            </w:r>
          </w:p>
        </w:tc>
        <w:tc>
          <w:tcPr>
            <w:tcW w:w="421" w:type="pct"/>
          </w:tcPr>
          <w:p>
            <w:pPr>
              <w:jc w:val="center"/>
              <w:rPr>
                <w:rFonts w:hint="default"/>
                <w:color w:val="000000" w:themeColor="text1"/>
                <w:szCs w:val="21"/>
                <w:lang w:val="en-US" w:eastAsia="zh-CN"/>
                <w14:textFill>
                  <w14:solidFill>
                    <w14:schemeClr w14:val="tx1"/>
                  </w14:solidFill>
                </w14:textFill>
              </w:rPr>
            </w:pPr>
          </w:p>
        </w:tc>
      </w:tr>
    </w:tbl>
    <w:p>
      <w:pPr>
        <w:ind w:firstLine="420" w:firstLineChars="200"/>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从选择题的得分率上看，单选题第2、7、9、10、12、14题，多选题的17、19学生得分率</w:t>
      </w:r>
      <w:r>
        <w:rPr>
          <w:rFonts w:hint="eastAsia" w:cs="Times New Roman"/>
          <w:color w:val="000000" w:themeColor="text1"/>
          <w:szCs w:val="21"/>
          <w:lang w:val="en-US" w:eastAsia="zh-CN"/>
          <w14:textFill>
            <w14:solidFill>
              <w14:schemeClr w14:val="tx1"/>
            </w14:solidFill>
          </w14:textFill>
        </w:rPr>
        <w:t>低于60%</w:t>
      </w:r>
      <w:r>
        <w:rPr>
          <w:rFonts w:hint="eastAsia" w:ascii="Times New Roman" w:hAnsi="Times New Roman" w:eastAsia="宋体" w:cs="Times New Roman"/>
          <w:color w:val="000000" w:themeColor="text1"/>
          <w:szCs w:val="21"/>
          <w:lang w:val="en-US" w:eastAsia="zh-CN"/>
          <w14:textFill>
            <w14:solidFill>
              <w14:schemeClr w14:val="tx1"/>
            </w14:solidFill>
          </w14:textFill>
        </w:rPr>
        <w:t>，反映出学生在应对新情境获得相关信息并分析处理的能力偏弱，后续复习需引起重视。</w:t>
      </w:r>
    </w:p>
    <w:p>
      <w:pPr>
        <w:adjustRightInd w:val="0"/>
        <w:snapToGrid w:val="0"/>
        <w:ind w:firstLine="42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2.非选择题得分率    均分：</w:t>
      </w:r>
      <w:r>
        <w:rPr>
          <w:rFonts w:hint="eastAsia"/>
          <w:b/>
          <w:bCs/>
          <w:color w:val="000000" w:themeColor="text1"/>
          <w:sz w:val="24"/>
          <w:u w:val="single"/>
          <w14:textFill>
            <w14:solidFill>
              <w14:schemeClr w14:val="tx1"/>
            </w14:solidFill>
          </w14:textFill>
        </w:rPr>
        <w:t xml:space="preserve"> </w:t>
      </w:r>
      <w:r>
        <w:rPr>
          <w:rFonts w:hint="eastAsia"/>
          <w:b/>
          <w:bCs/>
          <w:color w:val="000000" w:themeColor="text1"/>
          <w:sz w:val="24"/>
          <w:u w:val="single"/>
          <w:lang w:val="en-US" w:eastAsia="zh-CN"/>
          <w14:textFill>
            <w14:solidFill>
              <w14:schemeClr w14:val="tx1"/>
            </w14:solidFill>
          </w14:textFill>
        </w:rPr>
        <w:t xml:space="preserve"> 33.43  </w:t>
      </w:r>
      <w:r>
        <w:rPr>
          <w:rFonts w:hint="eastAsia"/>
          <w:b/>
          <w:bCs/>
          <w:color w:val="000000" w:themeColor="text1"/>
          <w:sz w:val="24"/>
          <w:u w:val="single"/>
          <w14:textFill>
            <w14:solidFill>
              <w14:schemeClr w14:val="tx1"/>
            </w14:solidFill>
          </w14:textFill>
        </w:rPr>
        <w:t xml:space="preserve"> </w:t>
      </w:r>
      <w:r>
        <w:rPr>
          <w:rFonts w:hint="eastAsia"/>
          <w:b/>
          <w:bCs/>
          <w:color w:val="000000" w:themeColor="text1"/>
          <w:sz w:val="24"/>
          <w14:textFill>
            <w14:solidFill>
              <w14:schemeClr w14:val="tx1"/>
            </w14:solidFill>
          </w14:textFill>
        </w:rPr>
        <w:t xml:space="preserve">       </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9"/>
        <w:gridCol w:w="1304"/>
        <w:gridCol w:w="1304"/>
        <w:gridCol w:w="1304"/>
        <w:gridCol w:w="1307"/>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168" w:type="pct"/>
            <w:tcBorders>
              <w:top w:val="single" w:color="auto" w:sz="6" w:space="0"/>
              <w:left w:val="single" w:color="auto" w:sz="6" w:space="0"/>
              <w:bottom w:val="single" w:color="auto" w:sz="6" w:space="0"/>
              <w:right w:val="single" w:color="auto" w:sz="6" w:space="0"/>
            </w:tcBorders>
            <w:vAlign w:val="center"/>
          </w:tcPr>
          <w:p>
            <w:pPr>
              <w:ind w:firstLine="210" w:firstLineChars="10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题号</w:t>
            </w:r>
          </w:p>
        </w:tc>
        <w:tc>
          <w:tcPr>
            <w:tcW w:w="766" w:type="pct"/>
            <w:tcBorders>
              <w:top w:val="single" w:color="auto" w:sz="6" w:space="0"/>
              <w:left w:val="single" w:color="auto" w:sz="6" w:space="0"/>
              <w:bottom w:val="single" w:color="auto" w:sz="6" w:space="0"/>
              <w:right w:val="single" w:color="auto" w:sz="6" w:space="0"/>
            </w:tcBorders>
          </w:tcPr>
          <w:p>
            <w:pPr>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20</w:t>
            </w:r>
          </w:p>
        </w:tc>
        <w:tc>
          <w:tcPr>
            <w:tcW w:w="766" w:type="pct"/>
            <w:tcBorders>
              <w:top w:val="single" w:color="auto" w:sz="6" w:space="0"/>
              <w:left w:val="single" w:color="auto" w:sz="6" w:space="0"/>
              <w:bottom w:val="single" w:color="auto" w:sz="6" w:space="0"/>
              <w:right w:val="single" w:color="auto" w:sz="6" w:space="0"/>
            </w:tcBorders>
          </w:tcPr>
          <w:p>
            <w:pPr>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21</w:t>
            </w:r>
          </w:p>
        </w:tc>
        <w:tc>
          <w:tcPr>
            <w:tcW w:w="766" w:type="pct"/>
            <w:tcBorders>
              <w:top w:val="single" w:color="auto" w:sz="6" w:space="0"/>
              <w:left w:val="single" w:color="auto" w:sz="6" w:space="0"/>
              <w:bottom w:val="single" w:color="auto" w:sz="6" w:space="0"/>
              <w:right w:val="single" w:color="auto" w:sz="6" w:space="0"/>
            </w:tcBorders>
          </w:tcPr>
          <w:p>
            <w:pPr>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22</w:t>
            </w:r>
          </w:p>
        </w:tc>
        <w:tc>
          <w:tcPr>
            <w:tcW w:w="767" w:type="pct"/>
            <w:tcBorders>
              <w:top w:val="single" w:color="auto" w:sz="6" w:space="0"/>
              <w:left w:val="single" w:color="auto" w:sz="6" w:space="0"/>
              <w:bottom w:val="single" w:color="auto" w:sz="6" w:space="0"/>
              <w:right w:val="single" w:color="auto" w:sz="6" w:space="0"/>
            </w:tcBorders>
          </w:tcPr>
          <w:p>
            <w:pPr>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23</w:t>
            </w:r>
          </w:p>
        </w:tc>
        <w:tc>
          <w:tcPr>
            <w:tcW w:w="767" w:type="pct"/>
            <w:tcBorders>
              <w:top w:val="single" w:color="auto" w:sz="6" w:space="0"/>
              <w:left w:val="single" w:color="auto" w:sz="6" w:space="0"/>
              <w:bottom w:val="single" w:color="auto" w:sz="6" w:space="0"/>
              <w:right w:val="single" w:color="auto" w:sz="6" w:space="0"/>
            </w:tcBorders>
          </w:tcPr>
          <w:p>
            <w:pPr>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68" w:type="pct"/>
            <w:tcBorders>
              <w:top w:val="single" w:color="auto" w:sz="6" w:space="0"/>
              <w:left w:val="single" w:color="auto" w:sz="6" w:space="0"/>
              <w:bottom w:val="single" w:color="auto" w:sz="6" w:space="0"/>
              <w:right w:val="single" w:color="auto" w:sz="6" w:space="0"/>
            </w:tcBorders>
            <w:vAlign w:val="center"/>
          </w:tcPr>
          <w:p>
            <w:pPr>
              <w:ind w:firstLine="210" w:firstLineChars="10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分值</w:t>
            </w:r>
          </w:p>
        </w:tc>
        <w:tc>
          <w:tcPr>
            <w:tcW w:w="766" w:type="pct"/>
            <w:tcBorders>
              <w:top w:val="single" w:color="auto" w:sz="6" w:space="0"/>
              <w:left w:val="single" w:color="auto" w:sz="6" w:space="0"/>
              <w:bottom w:val="single" w:color="auto" w:sz="6" w:space="0"/>
              <w:right w:val="single" w:color="auto" w:sz="6" w:space="0"/>
            </w:tcBorders>
          </w:tcPr>
          <w:p>
            <w:pPr>
              <w:ind w:firstLine="420" w:firstLineChars="200"/>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12</w:t>
            </w:r>
          </w:p>
        </w:tc>
        <w:tc>
          <w:tcPr>
            <w:tcW w:w="766" w:type="pct"/>
            <w:tcBorders>
              <w:top w:val="single" w:color="auto" w:sz="6" w:space="0"/>
              <w:left w:val="single" w:color="auto" w:sz="6" w:space="0"/>
              <w:bottom w:val="single" w:color="auto" w:sz="6" w:space="0"/>
              <w:right w:val="single" w:color="auto" w:sz="6" w:space="0"/>
            </w:tcBorders>
          </w:tcPr>
          <w:p>
            <w:pPr>
              <w:ind w:firstLine="420" w:firstLineChars="200"/>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11</w:t>
            </w:r>
          </w:p>
        </w:tc>
        <w:tc>
          <w:tcPr>
            <w:tcW w:w="766" w:type="pct"/>
            <w:tcBorders>
              <w:top w:val="single" w:color="auto" w:sz="6" w:space="0"/>
              <w:left w:val="single" w:color="auto" w:sz="6" w:space="0"/>
              <w:bottom w:val="single" w:color="auto" w:sz="6" w:space="0"/>
              <w:right w:val="single" w:color="auto" w:sz="6" w:space="0"/>
            </w:tcBorders>
          </w:tcPr>
          <w:p>
            <w:pPr>
              <w:ind w:firstLine="420" w:firstLineChars="200"/>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11</w:t>
            </w:r>
          </w:p>
        </w:tc>
        <w:tc>
          <w:tcPr>
            <w:tcW w:w="767" w:type="pct"/>
            <w:tcBorders>
              <w:top w:val="single" w:color="auto" w:sz="6" w:space="0"/>
              <w:left w:val="single" w:color="auto" w:sz="6" w:space="0"/>
              <w:bottom w:val="single" w:color="auto" w:sz="6" w:space="0"/>
              <w:right w:val="single" w:color="auto" w:sz="6" w:space="0"/>
            </w:tcBorders>
          </w:tcPr>
          <w:p>
            <w:pPr>
              <w:ind w:firstLine="420" w:firstLineChars="200"/>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11</w:t>
            </w:r>
          </w:p>
        </w:tc>
        <w:tc>
          <w:tcPr>
            <w:tcW w:w="767" w:type="pct"/>
            <w:tcBorders>
              <w:top w:val="single" w:color="auto" w:sz="6" w:space="0"/>
              <w:left w:val="single" w:color="auto" w:sz="6" w:space="0"/>
              <w:bottom w:val="single" w:color="auto" w:sz="6" w:space="0"/>
              <w:right w:val="single" w:color="auto" w:sz="6" w:space="0"/>
            </w:tcBorders>
          </w:tcPr>
          <w:p>
            <w:pPr>
              <w:ind w:firstLine="420" w:firstLineChars="200"/>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168" w:type="pct"/>
            <w:tcBorders>
              <w:top w:val="single" w:color="auto" w:sz="6" w:space="0"/>
              <w:left w:val="single" w:color="auto" w:sz="6" w:space="0"/>
              <w:bottom w:val="single" w:color="auto" w:sz="6" w:space="0"/>
              <w:right w:val="single" w:color="auto" w:sz="6" w:space="0"/>
            </w:tcBorders>
          </w:tcPr>
          <w:p>
            <w:pPr>
              <w:ind w:firstLine="210" w:firstLineChars="10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均分</w:t>
            </w:r>
          </w:p>
        </w:tc>
        <w:tc>
          <w:tcPr>
            <w:tcW w:w="766" w:type="pct"/>
            <w:tcBorders>
              <w:top w:val="single" w:color="auto" w:sz="6" w:space="0"/>
              <w:left w:val="single" w:color="auto" w:sz="6" w:space="0"/>
              <w:bottom w:val="single" w:color="auto" w:sz="6" w:space="0"/>
              <w:right w:val="single" w:color="auto" w:sz="6" w:space="0"/>
            </w:tcBorders>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7.67</w:t>
            </w:r>
          </w:p>
        </w:tc>
        <w:tc>
          <w:tcPr>
            <w:tcW w:w="766" w:type="pct"/>
            <w:tcBorders>
              <w:top w:val="single" w:color="auto" w:sz="6" w:space="0"/>
              <w:left w:val="single" w:color="auto" w:sz="6" w:space="0"/>
              <w:bottom w:val="single" w:color="auto" w:sz="6" w:space="0"/>
              <w:right w:val="single" w:color="auto" w:sz="6" w:space="0"/>
            </w:tcBorders>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7.56</w:t>
            </w:r>
          </w:p>
        </w:tc>
        <w:tc>
          <w:tcPr>
            <w:tcW w:w="766" w:type="pct"/>
            <w:tcBorders>
              <w:top w:val="single" w:color="auto" w:sz="6" w:space="0"/>
              <w:left w:val="single" w:color="auto" w:sz="6" w:space="0"/>
              <w:bottom w:val="single" w:color="auto" w:sz="6" w:space="0"/>
              <w:right w:val="single" w:color="auto" w:sz="6" w:space="0"/>
            </w:tcBorders>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6.78</w:t>
            </w:r>
          </w:p>
        </w:tc>
        <w:tc>
          <w:tcPr>
            <w:tcW w:w="767" w:type="pct"/>
            <w:tcBorders>
              <w:top w:val="single" w:color="auto" w:sz="6" w:space="0"/>
              <w:left w:val="single" w:color="auto" w:sz="6" w:space="0"/>
              <w:bottom w:val="single" w:color="auto" w:sz="6" w:space="0"/>
              <w:right w:val="single" w:color="auto" w:sz="6" w:space="0"/>
            </w:tcBorders>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6.15</w:t>
            </w:r>
          </w:p>
        </w:tc>
        <w:tc>
          <w:tcPr>
            <w:tcW w:w="767" w:type="pct"/>
            <w:tcBorders>
              <w:top w:val="single" w:color="auto" w:sz="6" w:space="0"/>
              <w:left w:val="single" w:color="auto" w:sz="6" w:space="0"/>
              <w:bottom w:val="single" w:color="auto" w:sz="6" w:space="0"/>
              <w:right w:val="single" w:color="auto" w:sz="6" w:space="0"/>
            </w:tcBorders>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68" w:type="pct"/>
            <w:tcBorders>
              <w:top w:val="single" w:color="auto" w:sz="6" w:space="0"/>
              <w:left w:val="single" w:color="auto" w:sz="6" w:space="0"/>
              <w:bottom w:val="single" w:color="auto" w:sz="6" w:space="0"/>
              <w:right w:val="single" w:color="auto" w:sz="6" w:space="0"/>
            </w:tcBorders>
          </w:tcPr>
          <w:p>
            <w:pPr>
              <w:ind w:firstLine="210" w:firstLineChars="10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得分率(%)</w:t>
            </w:r>
          </w:p>
        </w:tc>
        <w:tc>
          <w:tcPr>
            <w:tcW w:w="766" w:type="pct"/>
            <w:tcBorders>
              <w:top w:val="single" w:color="auto" w:sz="6" w:space="0"/>
              <w:left w:val="single" w:color="auto" w:sz="6" w:space="0"/>
              <w:bottom w:val="single" w:color="auto" w:sz="6" w:space="0"/>
              <w:right w:val="single" w:color="auto" w:sz="6" w:space="0"/>
            </w:tcBorders>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63.9</w:t>
            </w:r>
          </w:p>
        </w:tc>
        <w:tc>
          <w:tcPr>
            <w:tcW w:w="766" w:type="pct"/>
            <w:tcBorders>
              <w:top w:val="single" w:color="auto" w:sz="6" w:space="0"/>
              <w:left w:val="single" w:color="auto" w:sz="6" w:space="0"/>
              <w:bottom w:val="single" w:color="auto" w:sz="6" w:space="0"/>
              <w:right w:val="single" w:color="auto" w:sz="6" w:space="0"/>
            </w:tcBorders>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68.7</w:t>
            </w:r>
          </w:p>
        </w:tc>
        <w:tc>
          <w:tcPr>
            <w:tcW w:w="766" w:type="pct"/>
            <w:tcBorders>
              <w:top w:val="single" w:color="auto" w:sz="6" w:space="0"/>
              <w:left w:val="single" w:color="auto" w:sz="6" w:space="0"/>
              <w:bottom w:val="single" w:color="auto" w:sz="6" w:space="0"/>
              <w:right w:val="single" w:color="auto" w:sz="6" w:space="0"/>
            </w:tcBorders>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61.6</w:t>
            </w:r>
          </w:p>
        </w:tc>
        <w:tc>
          <w:tcPr>
            <w:tcW w:w="767" w:type="pct"/>
            <w:tcBorders>
              <w:top w:val="single" w:color="auto" w:sz="6" w:space="0"/>
              <w:left w:val="single" w:color="auto" w:sz="6" w:space="0"/>
              <w:bottom w:val="single" w:color="auto" w:sz="6" w:space="0"/>
              <w:right w:val="single" w:color="auto" w:sz="6" w:space="0"/>
            </w:tcBorders>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55.9</w:t>
            </w:r>
          </w:p>
        </w:tc>
        <w:tc>
          <w:tcPr>
            <w:tcW w:w="767" w:type="pct"/>
            <w:tcBorders>
              <w:top w:val="single" w:color="auto" w:sz="6" w:space="0"/>
              <w:left w:val="single" w:color="auto" w:sz="6" w:space="0"/>
              <w:bottom w:val="single" w:color="auto" w:sz="6" w:space="0"/>
              <w:right w:val="single" w:color="auto" w:sz="6" w:space="0"/>
            </w:tcBorders>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44.1</w:t>
            </w:r>
          </w:p>
        </w:tc>
      </w:tr>
    </w:tbl>
    <w:p>
      <w:pPr>
        <w:ind w:firstLine="420" w:firstLineChars="200"/>
        <w:rPr>
          <w:rFonts w:hint="eastAsia" w:ascii="Times New Roman" w:hAnsi="Times New Roman" w:eastAsia="宋体" w:cs="Times New Roman"/>
          <w:color w:val="000000" w:themeColor="text1"/>
          <w:szCs w:val="21"/>
          <w:lang w:val="en-US" w:eastAsia="zh-CN"/>
          <w14:textFill>
            <w14:solidFill>
              <w14:schemeClr w14:val="tx1"/>
            </w14:solidFill>
          </w14:textFill>
        </w:rPr>
      </w:pPr>
      <w:bookmarkStart w:id="0" w:name="_Hlk82956440"/>
      <w:r>
        <w:rPr>
          <w:rFonts w:hint="eastAsia" w:ascii="Times New Roman" w:hAnsi="Times New Roman" w:eastAsia="宋体" w:cs="Times New Roman"/>
          <w:color w:val="000000" w:themeColor="text1"/>
          <w:szCs w:val="21"/>
          <w:lang w:val="en-US" w:eastAsia="zh-CN"/>
          <w14:textFill>
            <w14:solidFill>
              <w14:schemeClr w14:val="tx1"/>
            </w14:solidFill>
          </w14:textFill>
        </w:rPr>
        <w:t>从非选择题的得分率上看，23、24得分率低于60%，表明生命活动的调节、基因工程等高频考点学生仍比较弱，不能根据情境的变化而做出准确的判断与解答，后期复习需强化，同时部分学生在答题速度、考试时间的分配等方面仍需进一步训练</w:t>
      </w:r>
      <w:r>
        <w:rPr>
          <w:rFonts w:hint="eastAsia" w:cs="Times New Roman"/>
          <w:color w:val="000000" w:themeColor="text1"/>
          <w:szCs w:val="21"/>
          <w:lang w:val="en-US" w:eastAsia="zh-CN"/>
          <w14:textFill>
            <w14:solidFill>
              <w14:schemeClr w14:val="tx1"/>
            </w14:solidFill>
          </w14:textFill>
        </w:rPr>
        <w:t>和指导</w:t>
      </w:r>
      <w:r>
        <w:rPr>
          <w:rFonts w:hint="eastAsia" w:ascii="Times New Roman" w:hAnsi="Times New Roman" w:eastAsia="宋体" w:cs="Times New Roman"/>
          <w:color w:val="000000" w:themeColor="text1"/>
          <w:szCs w:val="21"/>
          <w:lang w:val="en-US" w:eastAsia="zh-CN"/>
          <w14:textFill>
            <w14:solidFill>
              <w14:schemeClr w14:val="tx1"/>
            </w14:solidFill>
          </w14:textFill>
        </w:rPr>
        <w:t>。</w:t>
      </w:r>
    </w:p>
    <w:p>
      <w:pPr>
        <w:adjustRightInd w:val="0"/>
        <w:snapToGrid w:val="0"/>
        <w:ind w:firstLine="420"/>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（三）学生答题中的典型错误</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3"/>
        <w:gridCol w:w="1103"/>
        <w:gridCol w:w="3"/>
        <w:gridCol w:w="2"/>
        <w:gridCol w:w="6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0" w:type="pc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题号</w:t>
            </w:r>
          </w:p>
        </w:tc>
        <w:tc>
          <w:tcPr>
            <w:tcW w:w="649" w:type="pct"/>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难度</w:t>
            </w:r>
          </w:p>
        </w:tc>
        <w:tc>
          <w:tcPr>
            <w:tcW w:w="3650" w:type="pct"/>
            <w:gridSpan w:val="3"/>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典型错误及原因分析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00" w:type="pc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20（12分）</w:t>
            </w:r>
          </w:p>
        </w:tc>
        <w:tc>
          <w:tcPr>
            <w:tcW w:w="649" w:type="pct"/>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均分</w:t>
            </w:r>
            <w:r>
              <w:rPr>
                <w:rFonts w:hint="eastAsia" w:ascii="Times New Roman" w:hAnsi="Times New Roman" w:eastAsia="宋体" w:cs="Times New Roman"/>
                <w:color w:val="000000" w:themeColor="text1"/>
                <w:szCs w:val="21"/>
                <w:lang w:val="en-US" w:eastAsia="zh-CN"/>
                <w14:textFill>
                  <w14:solidFill>
                    <w14:schemeClr w14:val="tx1"/>
                  </w14:solidFill>
                </w14:textFill>
              </w:rPr>
              <w:t>7.67</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难度</w:t>
            </w:r>
            <w:r>
              <w:rPr>
                <w:rFonts w:hint="eastAsia" w:ascii="Times New Roman" w:hAnsi="Times New Roman" w:eastAsia="宋体" w:cs="Times New Roman"/>
                <w:color w:val="000000" w:themeColor="text1"/>
                <w:szCs w:val="21"/>
                <w:lang w:val="en-US" w:eastAsia="zh-CN"/>
                <w14:textFill>
                  <w14:solidFill>
                    <w14:schemeClr w14:val="tx1"/>
                  </w14:solidFill>
                </w14:textFill>
              </w:rPr>
              <w:t>0.64</w:t>
            </w:r>
          </w:p>
        </w:tc>
        <w:tc>
          <w:tcPr>
            <w:tcW w:w="3650" w:type="pct"/>
            <w:gridSpan w:val="3"/>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【参考答案】光系统Ⅱ</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【典型错误】光系统Ⅰ；PSⅡ</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【错因分析】审题不细，识图不清；没有用括号中的选题内容填空。</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【参考答案】NADP</w:t>
            </w:r>
            <w:r>
              <w:rPr>
                <w:rFonts w:hint="default" w:ascii="Times New Roman" w:hAnsi="Times New Roman" w:eastAsia="宋体" w:cs="Times New Roman"/>
                <w:color w:val="000000" w:themeColor="text1"/>
                <w:szCs w:val="21"/>
                <w:vertAlign w:val="superscript"/>
                <w:lang w:val="en-US" w:eastAsia="zh-CN"/>
                <w14:textFill>
                  <w14:solidFill>
                    <w14:schemeClr w14:val="tx1"/>
                  </w14:solidFill>
                </w14:textFill>
              </w:rPr>
              <w:t>+</w:t>
            </w:r>
            <w:r>
              <w:rPr>
                <w:rFonts w:hint="default" w:ascii="Times New Roman" w:hAnsi="Times New Roman" w:eastAsia="宋体" w:cs="Times New Roman"/>
                <w:color w:val="000000" w:themeColor="text1"/>
                <w:szCs w:val="21"/>
                <w:lang w:val="en-US" w:eastAsia="zh-CN"/>
                <w14:textFill>
                  <w14:solidFill>
                    <w14:schemeClr w14:val="tx1"/>
                  </w14:solidFill>
                </w14:textFill>
              </w:rPr>
              <w:t>（氧化型辅酶Ⅱ）</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【典型错误】字母拼写错误；NADPH；NADP</w:t>
            </w:r>
            <w:r>
              <w:rPr>
                <w:rFonts w:hint="default" w:ascii="Times New Roman" w:hAnsi="Times New Roman" w:eastAsia="宋体" w:cs="Times New Roman"/>
                <w:color w:val="000000" w:themeColor="text1"/>
                <w:szCs w:val="21"/>
                <w:vertAlign w:val="superscript"/>
                <w:lang w:val="en-US" w:eastAsia="zh-CN"/>
                <w14:textFill>
                  <w14:solidFill>
                    <w14:schemeClr w14:val="tx1"/>
                  </w14:solidFill>
                </w14:textFill>
              </w:rPr>
              <w:t>+</w:t>
            </w:r>
            <w:r>
              <w:rPr>
                <w:rFonts w:hint="default" w:ascii="Times New Roman" w:hAnsi="Times New Roman" w:eastAsia="宋体" w:cs="Times New Roman"/>
                <w:color w:val="000000" w:themeColor="text1"/>
                <w:szCs w:val="21"/>
                <w:lang w:val="en-US" w:eastAsia="zh-CN"/>
                <w14:textFill>
                  <w14:solidFill>
                    <w14:schemeClr w14:val="tx1"/>
                  </w14:solidFill>
                </w14:textFill>
              </w:rPr>
              <w:t>和H</w:t>
            </w:r>
            <w:r>
              <w:rPr>
                <w:rFonts w:hint="default" w:ascii="Times New Roman" w:hAnsi="Times New Roman" w:eastAsia="宋体" w:cs="Times New Roman"/>
                <w:color w:val="000000" w:themeColor="text1"/>
                <w:szCs w:val="21"/>
                <w:vertAlign w:val="superscript"/>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【错因分析】对于受体的理解有一定偏差，认为是最终反应产物，没有认识到NADP</w:t>
            </w:r>
            <w:r>
              <w:rPr>
                <w:rFonts w:hint="default" w:ascii="Times New Roman" w:hAnsi="Times New Roman" w:eastAsia="宋体" w:cs="Times New Roman"/>
                <w:color w:val="000000" w:themeColor="text1"/>
                <w:szCs w:val="21"/>
                <w:vertAlign w:val="superscript"/>
                <w:lang w:val="en-US" w:eastAsia="zh-CN"/>
                <w14:textFill>
                  <w14:solidFill>
                    <w14:schemeClr w14:val="tx1"/>
                  </w14:solidFill>
                </w14:textFill>
              </w:rPr>
              <w:t>+</w:t>
            </w:r>
            <w:r>
              <w:rPr>
                <w:rFonts w:hint="default" w:ascii="Times New Roman" w:hAnsi="Times New Roman" w:eastAsia="宋体" w:cs="Times New Roman"/>
                <w:color w:val="000000" w:themeColor="text1"/>
                <w:szCs w:val="21"/>
                <w:lang w:val="en-US" w:eastAsia="zh-CN"/>
                <w14:textFill>
                  <w14:solidFill>
                    <w14:schemeClr w14:val="tx1"/>
                  </w14:solidFill>
                </w14:textFill>
              </w:rPr>
              <w:t>接受电子和H</w:t>
            </w:r>
            <w:r>
              <w:rPr>
                <w:rFonts w:hint="default" w:ascii="Times New Roman" w:hAnsi="Times New Roman" w:eastAsia="宋体" w:cs="Times New Roman"/>
                <w:color w:val="000000" w:themeColor="text1"/>
                <w:szCs w:val="21"/>
                <w:vertAlign w:val="superscript"/>
                <w:lang w:val="en-US" w:eastAsia="zh-CN"/>
                <w14:textFill>
                  <w14:solidFill>
                    <w14:schemeClr w14:val="tx1"/>
                  </w14:solidFill>
                </w14:textFill>
              </w:rPr>
              <w:t>+</w:t>
            </w:r>
            <w:r>
              <w:rPr>
                <w:rFonts w:hint="default" w:ascii="Times New Roman" w:hAnsi="Times New Roman" w:eastAsia="宋体" w:cs="Times New Roman"/>
                <w:color w:val="000000" w:themeColor="text1"/>
                <w:szCs w:val="21"/>
                <w:lang w:val="en-US" w:eastAsia="zh-CN"/>
                <w14:textFill>
                  <w14:solidFill>
                    <w14:schemeClr w14:val="tx1"/>
                  </w14:solidFill>
                </w14:textFill>
              </w:rPr>
              <w:t>合成NADPH。</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【参考答案】NADPH和ATP</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【典型错误】ATP；NADPH和ATP中活跃的化学能</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【错因分析】对于光合作用中光反应过程缺乏系统性认识；审题不清，要求写能量的载体，应当填写物质</w:t>
            </w:r>
            <w:r>
              <w:rPr>
                <w:rFonts w:hint="eastAsia" w:cs="Times New Roman"/>
                <w:color w:val="000000" w:themeColor="text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【参考答案】丙酮酸</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【典型错误】C</w:t>
            </w:r>
            <w:r>
              <w:rPr>
                <w:rFonts w:hint="default" w:ascii="Times New Roman" w:hAnsi="Times New Roman" w:eastAsia="宋体" w:cs="Times New Roman"/>
                <w:color w:val="000000" w:themeColor="text1"/>
                <w:szCs w:val="21"/>
                <w:vertAlign w:val="subscript"/>
                <w:lang w:val="en-US" w:eastAsia="zh-CN"/>
                <w14:textFill>
                  <w14:solidFill>
                    <w14:schemeClr w14:val="tx1"/>
                  </w14:solidFill>
                </w14:textFill>
              </w:rPr>
              <w:t>3</w:t>
            </w:r>
            <w:r>
              <w:rPr>
                <w:rFonts w:hint="default" w:ascii="Times New Roman" w:hAnsi="Times New Roman" w:eastAsia="宋体" w:cs="Times New Roman"/>
                <w:color w:val="000000" w:themeColor="text1"/>
                <w:szCs w:val="21"/>
                <w:lang w:val="en-US" w:eastAsia="zh-CN"/>
                <w14:textFill>
                  <w14:solidFill>
                    <w14:schemeClr w14:val="tx1"/>
                  </w14:solidFill>
                </w14:textFill>
              </w:rPr>
              <w:t>H</w:t>
            </w:r>
            <w:r>
              <w:rPr>
                <w:rFonts w:hint="default" w:ascii="Times New Roman" w:hAnsi="Times New Roman" w:eastAsia="宋体" w:cs="Times New Roman"/>
                <w:color w:val="000000" w:themeColor="text1"/>
                <w:szCs w:val="21"/>
                <w:vertAlign w:val="subscript"/>
                <w:lang w:val="en-US" w:eastAsia="zh-CN"/>
                <w14:textFill>
                  <w14:solidFill>
                    <w14:schemeClr w14:val="tx1"/>
                  </w14:solidFill>
                </w14:textFill>
              </w:rPr>
              <w:t>6</w:t>
            </w:r>
            <w:r>
              <w:rPr>
                <w:rFonts w:hint="default" w:ascii="Times New Roman" w:hAnsi="Times New Roman" w:eastAsia="宋体" w:cs="Times New Roman"/>
                <w:color w:val="000000" w:themeColor="text1"/>
                <w:szCs w:val="21"/>
                <w:lang w:val="en-US" w:eastAsia="zh-CN"/>
                <w14:textFill>
                  <w14:solidFill>
                    <w14:schemeClr w14:val="tx1"/>
                  </w14:solidFill>
                </w14:textFill>
              </w:rPr>
              <w:t>O</w:t>
            </w:r>
            <w:r>
              <w:rPr>
                <w:rFonts w:hint="default" w:ascii="Times New Roman" w:hAnsi="Times New Roman" w:eastAsia="宋体" w:cs="Times New Roman"/>
                <w:color w:val="000000" w:themeColor="text1"/>
                <w:szCs w:val="21"/>
                <w:vertAlign w:val="subscript"/>
                <w:lang w:val="en-US" w:eastAsia="zh-CN"/>
                <w14:textFill>
                  <w14:solidFill>
                    <w14:schemeClr w14:val="tx1"/>
                  </w14:solidFill>
                </w14:textFill>
              </w:rPr>
              <w:t>3</w:t>
            </w:r>
            <w:r>
              <w:rPr>
                <w:rFonts w:hint="eastAsia" w:ascii="Times New Roman" w:hAnsi="Times New Roman" w:eastAsia="宋体" w:cs="Times New Roman"/>
                <w:color w:val="000000" w:themeColor="text1"/>
                <w:szCs w:val="21"/>
                <w:lang w:val="en-US" w:eastAsia="zh-CN"/>
                <w14:textFill>
                  <w14:solidFill>
                    <w14:schemeClr w14:val="tx1"/>
                  </w14:solidFill>
                </w14:textFill>
              </w:rPr>
              <w:t>；</w:t>
            </w:r>
            <w:r>
              <w:rPr>
                <w:rFonts w:hint="default" w:ascii="Times New Roman" w:hAnsi="Times New Roman" w:eastAsia="宋体" w:cs="Times New Roman"/>
                <w:color w:val="000000" w:themeColor="text1"/>
                <w:szCs w:val="21"/>
                <w:lang w:val="en-US" w:eastAsia="zh-CN"/>
                <w14:textFill>
                  <w14:solidFill>
                    <w14:schemeClr w14:val="tx1"/>
                  </w14:solidFill>
                </w14:textFill>
              </w:rPr>
              <w:t>丙醇酸</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【错因分析】答题</w:t>
            </w:r>
            <w:r>
              <w:rPr>
                <w:rFonts w:hint="eastAsia" w:ascii="Times New Roman" w:hAnsi="Times New Roman" w:eastAsia="宋体" w:cs="Times New Roman"/>
                <w:color w:val="000000" w:themeColor="text1"/>
                <w:szCs w:val="21"/>
                <w:lang w:val="en-US" w:eastAsia="zh-CN"/>
                <w14:textFill>
                  <w14:solidFill>
                    <w14:schemeClr w14:val="tx1"/>
                  </w14:solidFill>
                </w14:textFill>
              </w:rPr>
              <w:t>不</w:t>
            </w:r>
            <w:r>
              <w:rPr>
                <w:rFonts w:hint="default" w:ascii="Times New Roman" w:hAnsi="Times New Roman" w:eastAsia="宋体" w:cs="Times New Roman"/>
                <w:color w:val="000000" w:themeColor="text1"/>
                <w:szCs w:val="21"/>
                <w:lang w:val="en-US" w:eastAsia="zh-CN"/>
                <w14:textFill>
                  <w14:solidFill>
                    <w14:schemeClr w14:val="tx1"/>
                  </w14:solidFill>
                </w14:textFill>
              </w:rPr>
              <w:t>规范，忽略C</w:t>
            </w:r>
            <w:r>
              <w:rPr>
                <w:rFonts w:hint="default" w:ascii="Times New Roman" w:hAnsi="Times New Roman" w:eastAsia="宋体" w:cs="Times New Roman"/>
                <w:color w:val="000000" w:themeColor="text1"/>
                <w:szCs w:val="21"/>
                <w:vertAlign w:val="subscript"/>
                <w:lang w:val="en-US" w:eastAsia="zh-CN"/>
                <w14:textFill>
                  <w14:solidFill>
                    <w14:schemeClr w14:val="tx1"/>
                  </w14:solidFill>
                </w14:textFill>
              </w:rPr>
              <w:t>3</w:t>
            </w:r>
            <w:r>
              <w:rPr>
                <w:rFonts w:hint="default" w:ascii="Times New Roman" w:hAnsi="Times New Roman" w:eastAsia="宋体" w:cs="Times New Roman"/>
                <w:color w:val="000000" w:themeColor="text1"/>
                <w:szCs w:val="21"/>
                <w:lang w:val="en-US" w:eastAsia="zh-CN"/>
                <w14:textFill>
                  <w14:solidFill>
                    <w14:schemeClr w14:val="tx1"/>
                  </w14:solidFill>
                </w14:textFill>
              </w:rPr>
              <w:t>H</w:t>
            </w:r>
            <w:r>
              <w:rPr>
                <w:rFonts w:hint="default" w:ascii="Times New Roman" w:hAnsi="Times New Roman" w:eastAsia="宋体" w:cs="Times New Roman"/>
                <w:color w:val="000000" w:themeColor="text1"/>
                <w:szCs w:val="21"/>
                <w:vertAlign w:val="subscript"/>
                <w:lang w:val="en-US" w:eastAsia="zh-CN"/>
                <w14:textFill>
                  <w14:solidFill>
                    <w14:schemeClr w14:val="tx1"/>
                  </w14:solidFill>
                </w14:textFill>
              </w:rPr>
              <w:t>6</w:t>
            </w:r>
            <w:r>
              <w:rPr>
                <w:rFonts w:hint="default" w:ascii="Times New Roman" w:hAnsi="Times New Roman" w:eastAsia="宋体" w:cs="Times New Roman"/>
                <w:color w:val="000000" w:themeColor="text1"/>
                <w:szCs w:val="21"/>
                <w:lang w:val="en-US" w:eastAsia="zh-CN"/>
                <w14:textFill>
                  <w14:solidFill>
                    <w14:schemeClr w14:val="tx1"/>
                  </w14:solidFill>
                </w14:textFill>
              </w:rPr>
              <w:t>O</w:t>
            </w:r>
            <w:r>
              <w:rPr>
                <w:rFonts w:hint="default" w:ascii="Times New Roman" w:hAnsi="Times New Roman" w:eastAsia="宋体" w:cs="Times New Roman"/>
                <w:color w:val="000000" w:themeColor="text1"/>
                <w:szCs w:val="21"/>
                <w:vertAlign w:val="subscript"/>
                <w:lang w:val="en-US" w:eastAsia="zh-CN"/>
                <w14:textFill>
                  <w14:solidFill>
                    <w14:schemeClr w14:val="tx1"/>
                  </w14:solidFill>
                </w14:textFill>
              </w:rPr>
              <w:t>3</w:t>
            </w:r>
            <w:r>
              <w:rPr>
                <w:rFonts w:hint="default" w:ascii="Times New Roman" w:hAnsi="Times New Roman" w:eastAsia="宋体" w:cs="Times New Roman"/>
                <w:color w:val="000000" w:themeColor="text1"/>
                <w:szCs w:val="21"/>
                <w:lang w:val="en-US" w:eastAsia="zh-CN"/>
                <w14:textFill>
                  <w14:solidFill>
                    <w14:schemeClr w14:val="tx1"/>
                  </w14:solidFill>
                </w14:textFill>
              </w:rPr>
              <w:t>还存在同分异构体</w:t>
            </w:r>
            <w:r>
              <w:rPr>
                <w:rFonts w:hint="eastAsia" w:ascii="Times New Roman" w:hAnsi="Times New Roman" w:eastAsia="宋体" w:cs="Times New Roman"/>
                <w:color w:val="000000" w:themeColor="text1"/>
                <w:szCs w:val="21"/>
                <w:lang w:val="en-US" w:eastAsia="zh-CN"/>
                <w14:textFill>
                  <w14:solidFill>
                    <w14:schemeClr w14:val="tx1"/>
                  </w14:solidFill>
                </w14:textFill>
              </w:rPr>
              <w:t>；错别字。</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【参考答案】不需要</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【典型错误】需要</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【错因分析】对有氧呼吸三</w:t>
            </w:r>
            <w:r>
              <w:rPr>
                <w:rFonts w:hint="eastAsia" w:ascii="Times New Roman" w:hAnsi="Times New Roman" w:eastAsia="宋体" w:cs="Times New Roman"/>
                <w:color w:val="000000" w:themeColor="text1"/>
                <w:szCs w:val="21"/>
                <w:lang w:val="en-US" w:eastAsia="zh-CN"/>
                <w14:textFill>
                  <w14:solidFill>
                    <w14:schemeClr w14:val="tx1"/>
                  </w14:solidFill>
                </w14:textFill>
              </w:rPr>
              <w:t>个</w:t>
            </w:r>
            <w:r>
              <w:rPr>
                <w:rFonts w:hint="default" w:ascii="Times New Roman" w:hAnsi="Times New Roman" w:eastAsia="宋体" w:cs="Times New Roman"/>
                <w:color w:val="000000" w:themeColor="text1"/>
                <w:szCs w:val="21"/>
                <w:lang w:val="en-US" w:eastAsia="zh-CN"/>
                <w14:textFill>
                  <w14:solidFill>
                    <w14:schemeClr w14:val="tx1"/>
                  </w14:solidFill>
                </w14:textFill>
              </w:rPr>
              <w:t>阶段的过程</w:t>
            </w:r>
            <w:r>
              <w:rPr>
                <w:rFonts w:hint="eastAsia" w:ascii="Times New Roman" w:hAnsi="Times New Roman" w:eastAsia="宋体" w:cs="Times New Roman"/>
                <w:color w:val="000000" w:themeColor="text1"/>
                <w:szCs w:val="21"/>
                <w:lang w:val="en-US" w:eastAsia="zh-CN"/>
                <w14:textFill>
                  <w14:solidFill>
                    <w14:schemeClr w14:val="tx1"/>
                  </w14:solidFill>
                </w14:textFill>
              </w:rPr>
              <w:t>识记不清，识图能力不强，</w:t>
            </w:r>
            <w:r>
              <w:rPr>
                <w:rFonts w:hint="default" w:ascii="Times New Roman" w:hAnsi="Times New Roman" w:eastAsia="宋体" w:cs="Times New Roman"/>
                <w:color w:val="000000" w:themeColor="text1"/>
                <w:szCs w:val="21"/>
                <w:lang w:val="en-US" w:eastAsia="zh-CN"/>
                <w14:textFill>
                  <w14:solidFill>
                    <w14:schemeClr w14:val="tx1"/>
                  </w14:solidFill>
                </w14:textFill>
              </w:rPr>
              <w:t>对题干</w:t>
            </w:r>
            <w:r>
              <w:rPr>
                <w:rFonts w:hint="eastAsia" w:ascii="Times New Roman" w:hAnsi="Times New Roman" w:eastAsia="宋体" w:cs="Times New Roman"/>
                <w:color w:val="000000" w:themeColor="text1"/>
                <w:szCs w:val="21"/>
                <w:lang w:val="en-US" w:eastAsia="zh-CN"/>
                <w14:textFill>
                  <w14:solidFill>
                    <w14:schemeClr w14:val="tx1"/>
                  </w14:solidFill>
                </w14:textFill>
              </w:rPr>
              <w:t>和图</w:t>
            </w:r>
            <w:r>
              <w:rPr>
                <w:rFonts w:hint="default" w:ascii="Times New Roman" w:hAnsi="Times New Roman" w:eastAsia="宋体" w:cs="Times New Roman"/>
                <w:color w:val="000000" w:themeColor="text1"/>
                <w:szCs w:val="21"/>
                <w:lang w:val="en-US" w:eastAsia="zh-CN"/>
                <w14:textFill>
                  <w14:solidFill>
                    <w14:schemeClr w14:val="tx1"/>
                  </w14:solidFill>
                </w14:textFill>
              </w:rPr>
              <w:t>中的信息观察不足。</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【参考答案】细胞质基质</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【典型错误】线粒体基质</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【错因分析】</w:t>
            </w:r>
            <w:r>
              <w:rPr>
                <w:rFonts w:hint="eastAsia" w:ascii="Times New Roman" w:hAnsi="Times New Roman" w:eastAsia="宋体" w:cs="Times New Roman"/>
                <w:color w:val="000000" w:themeColor="text1"/>
                <w:szCs w:val="21"/>
                <w:lang w:val="en-US" w:eastAsia="zh-CN"/>
                <w14:textFill>
                  <w14:solidFill>
                    <w14:schemeClr w14:val="tx1"/>
                  </w14:solidFill>
                </w14:textFill>
              </w:rPr>
              <w:t>识图能力不强，</w:t>
            </w:r>
            <w:r>
              <w:rPr>
                <w:rFonts w:hint="default" w:ascii="Times New Roman" w:hAnsi="Times New Roman" w:eastAsia="宋体" w:cs="Times New Roman"/>
                <w:color w:val="000000" w:themeColor="text1"/>
                <w:szCs w:val="21"/>
                <w:lang w:val="en-US" w:eastAsia="zh-CN"/>
                <w14:textFill>
                  <w14:solidFill>
                    <w14:schemeClr w14:val="tx1"/>
                  </w14:solidFill>
                </w14:textFill>
              </w:rPr>
              <w:t>对题干</w:t>
            </w:r>
            <w:r>
              <w:rPr>
                <w:rFonts w:hint="eastAsia" w:ascii="Times New Roman" w:hAnsi="Times New Roman" w:eastAsia="宋体" w:cs="Times New Roman"/>
                <w:color w:val="000000" w:themeColor="text1"/>
                <w:szCs w:val="21"/>
                <w:lang w:val="en-US" w:eastAsia="zh-CN"/>
                <w14:textFill>
                  <w14:solidFill>
                    <w14:schemeClr w14:val="tx1"/>
                  </w14:solidFill>
                </w14:textFill>
              </w:rPr>
              <w:t>和图</w:t>
            </w:r>
            <w:r>
              <w:rPr>
                <w:rFonts w:hint="default" w:ascii="Times New Roman" w:hAnsi="Times New Roman" w:eastAsia="宋体" w:cs="Times New Roman"/>
                <w:color w:val="000000" w:themeColor="text1"/>
                <w:szCs w:val="21"/>
                <w:lang w:val="en-US" w:eastAsia="zh-CN"/>
                <w14:textFill>
                  <w14:solidFill>
                    <w14:schemeClr w14:val="tx1"/>
                  </w14:solidFill>
                </w14:textFill>
              </w:rPr>
              <w:t>中的信息观察不足</w:t>
            </w:r>
            <w:r>
              <w:rPr>
                <w:rFonts w:hint="eastAsia" w:ascii="Times New Roman" w:hAnsi="Times New Roman" w:eastAsia="宋体" w:cs="Times New Roman"/>
                <w:color w:val="000000" w:themeColor="text1"/>
                <w:szCs w:val="21"/>
                <w:lang w:val="en-US" w:eastAsia="zh-CN"/>
                <w14:textFill>
                  <w14:solidFill>
                    <w14:schemeClr w14:val="tx1"/>
                  </w14:solidFill>
                </w14:textFill>
              </w:rPr>
              <w:t>，</w:t>
            </w:r>
            <w:r>
              <w:rPr>
                <w:rFonts w:hint="default" w:ascii="Times New Roman" w:hAnsi="Times New Roman" w:eastAsia="宋体" w:cs="Times New Roman"/>
                <w:color w:val="000000" w:themeColor="text1"/>
                <w:szCs w:val="21"/>
                <w:lang w:val="en-US" w:eastAsia="zh-CN"/>
                <w14:textFill>
                  <w14:solidFill>
                    <w14:schemeClr w14:val="tx1"/>
                  </w14:solidFill>
                </w14:textFill>
              </w:rPr>
              <w:t>物质X有三条代谢路径，促进番茄红素合成的酶应该在细胞质基质</w:t>
            </w:r>
            <w:r>
              <w:rPr>
                <w:rFonts w:hint="eastAsia" w:cs="Times New Roman"/>
                <w:color w:val="000000" w:themeColor="text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【参考答案】番茄红素</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【典型错误】蕃茄红素</w:t>
            </w:r>
            <w:r>
              <w:rPr>
                <w:rFonts w:hint="eastAsia" w:ascii="Times New Roman" w:hAnsi="Times New Roman" w:eastAsia="宋体" w:cs="Times New Roman"/>
                <w:color w:val="000000" w:themeColor="text1"/>
                <w:szCs w:val="21"/>
                <w:lang w:val="en-US" w:eastAsia="zh-CN"/>
                <w14:textFill>
                  <w14:solidFill>
                    <w14:schemeClr w14:val="tx1"/>
                  </w14:solidFill>
                </w14:textFill>
              </w:rPr>
              <w:t>；</w:t>
            </w:r>
            <w:r>
              <w:rPr>
                <w:rFonts w:hint="default" w:ascii="Times New Roman" w:hAnsi="Times New Roman" w:eastAsia="宋体" w:cs="Times New Roman"/>
                <w:color w:val="000000" w:themeColor="text1"/>
                <w:szCs w:val="21"/>
                <w:lang w:val="en-US" w:eastAsia="zh-CN"/>
                <w14:textFill>
                  <w14:solidFill>
                    <w14:schemeClr w14:val="tx1"/>
                  </w14:solidFill>
                </w14:textFill>
              </w:rPr>
              <w:t>番茄红素和甘油三酯</w:t>
            </w:r>
            <w:r>
              <w:rPr>
                <w:rFonts w:hint="eastAsia" w:ascii="Times New Roman" w:hAnsi="Times New Roman" w:eastAsia="宋体" w:cs="Times New Roman"/>
                <w:color w:val="000000" w:themeColor="text1"/>
                <w:szCs w:val="21"/>
                <w:lang w:val="en-US" w:eastAsia="zh-CN"/>
                <w14:textFill>
                  <w14:solidFill>
                    <w14:schemeClr w14:val="tx1"/>
                  </w14:solidFill>
                </w14:textFill>
              </w:rPr>
              <w:t>；</w:t>
            </w:r>
            <w:r>
              <w:rPr>
                <w:rFonts w:hint="default" w:ascii="Times New Roman" w:hAnsi="Times New Roman" w:eastAsia="宋体" w:cs="Times New Roman"/>
                <w:color w:val="000000" w:themeColor="text1"/>
                <w:szCs w:val="21"/>
                <w:lang w:val="en-US" w:eastAsia="zh-CN"/>
                <w14:textFill>
                  <w14:solidFill>
                    <w14:schemeClr w14:val="tx1"/>
                  </w14:solidFill>
                </w14:textFill>
              </w:rPr>
              <w:t>脂滴</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【错因分析】错别字</w:t>
            </w:r>
            <w:r>
              <w:rPr>
                <w:rFonts w:hint="eastAsia" w:ascii="Times New Roman" w:hAnsi="Times New Roman" w:eastAsia="宋体" w:cs="Times New Roman"/>
                <w:color w:val="000000" w:themeColor="text1"/>
                <w:szCs w:val="21"/>
                <w:lang w:val="en-US" w:eastAsia="zh-CN"/>
                <w14:textFill>
                  <w14:solidFill>
                    <w14:schemeClr w14:val="tx1"/>
                  </w14:solidFill>
                </w14:textFill>
              </w:rPr>
              <w:t>；识图能力不强，不能根据图分析出物质X形成</w:t>
            </w:r>
            <w:r>
              <w:rPr>
                <w:rFonts w:hint="default" w:ascii="Times New Roman" w:hAnsi="Times New Roman" w:eastAsia="宋体" w:cs="Times New Roman"/>
                <w:color w:val="000000" w:themeColor="text1"/>
                <w:szCs w:val="21"/>
                <w:lang w:val="en-US" w:eastAsia="zh-CN"/>
                <w14:textFill>
                  <w14:solidFill>
                    <w14:schemeClr w14:val="tx1"/>
                  </w14:solidFill>
                </w14:textFill>
              </w:rPr>
              <w:t>番茄红素</w:t>
            </w:r>
            <w:r>
              <w:rPr>
                <w:rFonts w:hint="eastAsia" w:ascii="Times New Roman" w:hAnsi="Times New Roman" w:eastAsia="宋体" w:cs="Times New Roman"/>
                <w:color w:val="000000" w:themeColor="text1"/>
                <w:szCs w:val="21"/>
                <w:lang w:val="en-US" w:eastAsia="zh-CN"/>
                <w14:textFill>
                  <w14:solidFill>
                    <w14:schemeClr w14:val="tx1"/>
                  </w14:solidFill>
                </w14:textFill>
              </w:rPr>
              <w:t>后在脂滴中积累，而甘油三酯只是形成脂滴结构。</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【参考答案】气孔开度降低，但胞间CO</w:t>
            </w:r>
            <w:r>
              <w:rPr>
                <w:rFonts w:hint="eastAsia" w:ascii="Times New Roman" w:hAnsi="Times New Roman" w:eastAsia="宋体" w:cs="Times New Roman"/>
                <w:color w:val="000000" w:themeColor="text1"/>
                <w:szCs w:val="21"/>
                <w:vertAlign w:val="subscript"/>
                <w:lang w:val="en-US" w:eastAsia="zh-CN"/>
                <w14:textFill>
                  <w14:solidFill>
                    <w14:schemeClr w14:val="tx1"/>
                  </w14:solidFill>
                </w14:textFill>
              </w:rPr>
              <w:t>2</w:t>
            </w: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浓度却升高  </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【典型错误】只写出“气孔开度低”或“胞间CO</w:t>
            </w:r>
            <w:r>
              <w:rPr>
                <w:rFonts w:hint="eastAsia" w:ascii="Times New Roman" w:hAnsi="Times New Roman" w:eastAsia="宋体" w:cs="Times New Roman"/>
                <w:color w:val="000000" w:themeColor="text1"/>
                <w:szCs w:val="21"/>
                <w:vertAlign w:val="subscript"/>
                <w:lang w:val="en-US" w:eastAsia="zh-CN"/>
                <w14:textFill>
                  <w14:solidFill>
                    <w14:schemeClr w14:val="tx1"/>
                  </w14:solidFill>
                </w14:textFill>
              </w:rPr>
              <w:t>2</w:t>
            </w: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浓度升高” </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【错因分析】学生未就“非气孔因素引起的光能过剩”的本质原因进行分析，只写出“气孔开度低”或“胞间CO</w:t>
            </w:r>
            <w:r>
              <w:rPr>
                <w:rFonts w:hint="eastAsia" w:ascii="Times New Roman" w:hAnsi="Times New Roman" w:eastAsia="宋体" w:cs="Times New Roman"/>
                <w:color w:val="000000" w:themeColor="text1"/>
                <w:szCs w:val="21"/>
                <w:vertAlign w:val="subscript"/>
                <w:lang w:val="en-US" w:eastAsia="zh-CN"/>
                <w14:textFill>
                  <w14:solidFill>
                    <w14:schemeClr w14:val="tx1"/>
                  </w14:solidFill>
                </w14:textFill>
              </w:rPr>
              <w:t>2</w:t>
            </w:r>
            <w:r>
              <w:rPr>
                <w:rFonts w:hint="eastAsia" w:ascii="Times New Roman" w:hAnsi="Times New Roman" w:eastAsia="宋体" w:cs="Times New Roman"/>
                <w:color w:val="000000" w:themeColor="text1"/>
                <w:szCs w:val="21"/>
                <w:lang w:val="en-US" w:eastAsia="zh-CN"/>
                <w14:textFill>
                  <w14:solidFill>
                    <w14:schemeClr w14:val="tx1"/>
                  </w14:solidFill>
                </w14:textFill>
              </w:rPr>
              <w:t>浓度升高”，未指出“胞间CO</w:t>
            </w:r>
            <w:r>
              <w:rPr>
                <w:rFonts w:hint="eastAsia" w:ascii="Times New Roman" w:hAnsi="Times New Roman" w:eastAsia="宋体" w:cs="Times New Roman"/>
                <w:color w:val="000000" w:themeColor="text1"/>
                <w:szCs w:val="21"/>
                <w:vertAlign w:val="subscript"/>
                <w:lang w:val="en-US" w:eastAsia="zh-CN"/>
                <w14:textFill>
                  <w14:solidFill>
                    <w14:schemeClr w14:val="tx1"/>
                  </w14:solidFill>
                </w14:textFill>
              </w:rPr>
              <w:t>2</w:t>
            </w:r>
            <w:r>
              <w:rPr>
                <w:rFonts w:hint="eastAsia" w:ascii="Times New Roman" w:hAnsi="Times New Roman" w:eastAsia="宋体" w:cs="Times New Roman"/>
                <w:color w:val="000000" w:themeColor="text1"/>
                <w:szCs w:val="21"/>
                <w:lang w:val="en-US" w:eastAsia="zh-CN"/>
                <w14:textFill>
                  <w14:solidFill>
                    <w14:schemeClr w14:val="tx1"/>
                  </w14:solidFill>
                </w14:textFill>
              </w:rPr>
              <w:t>浓度的升高”这一本质原因。</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【参考答案】RuBP羧化酶活性下降</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【典型错误】多写了CO</w:t>
            </w:r>
            <w:r>
              <w:rPr>
                <w:rFonts w:hint="eastAsia" w:ascii="Times New Roman" w:hAnsi="Times New Roman" w:eastAsia="宋体" w:cs="Times New Roman"/>
                <w:color w:val="000000" w:themeColor="text1"/>
                <w:szCs w:val="21"/>
                <w:vertAlign w:val="subscript"/>
                <w:lang w:val="en-US" w:eastAsia="zh-CN"/>
                <w14:textFill>
                  <w14:solidFill>
                    <w14:schemeClr w14:val="tx1"/>
                  </w14:solidFill>
                </w14:textFill>
              </w:rPr>
              <w:t>2</w:t>
            </w:r>
            <w:r>
              <w:rPr>
                <w:rFonts w:hint="eastAsia" w:ascii="Times New Roman" w:hAnsi="Times New Roman" w:eastAsia="宋体" w:cs="Times New Roman"/>
                <w:color w:val="000000" w:themeColor="text1"/>
                <w:szCs w:val="21"/>
                <w:lang w:val="en-US" w:eastAsia="zh-CN"/>
                <w14:textFill>
                  <w14:solidFill>
                    <w14:schemeClr w14:val="tx1"/>
                  </w14:solidFill>
                </w14:textFill>
              </w:rPr>
              <w:t>浓度上升或下降</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【错因分析】没有认真审题，没搞清楚CO</w:t>
            </w:r>
            <w:r>
              <w:rPr>
                <w:rFonts w:hint="eastAsia" w:ascii="Times New Roman" w:hAnsi="Times New Roman" w:eastAsia="宋体" w:cs="Times New Roman"/>
                <w:color w:val="000000" w:themeColor="text1"/>
                <w:szCs w:val="21"/>
                <w:vertAlign w:val="subscript"/>
                <w:lang w:val="en-US" w:eastAsia="zh-CN"/>
                <w14:textFill>
                  <w14:solidFill>
                    <w14:schemeClr w14:val="tx1"/>
                  </w14:solidFill>
                </w14:textFill>
              </w:rPr>
              <w:t>2</w:t>
            </w:r>
            <w:r>
              <w:rPr>
                <w:rFonts w:hint="eastAsia" w:ascii="Times New Roman" w:hAnsi="Times New Roman" w:eastAsia="宋体" w:cs="Times New Roman"/>
                <w:color w:val="000000" w:themeColor="text1"/>
                <w:szCs w:val="21"/>
                <w:lang w:val="en-US" w:eastAsia="zh-CN"/>
                <w14:textFill>
                  <w14:solidFill>
                    <w14:schemeClr w14:val="tx1"/>
                  </w14:solidFill>
                </w14:textFill>
              </w:rPr>
              <w:t>浓度、RuBP羧化酶对C</w:t>
            </w:r>
            <w:r>
              <w:rPr>
                <w:rFonts w:hint="eastAsia" w:ascii="Times New Roman" w:hAnsi="Times New Roman" w:eastAsia="宋体" w:cs="Times New Roman"/>
                <w:color w:val="000000" w:themeColor="text1"/>
                <w:szCs w:val="21"/>
                <w:vertAlign w:val="subscript"/>
                <w:lang w:val="en-US" w:eastAsia="zh-CN"/>
                <w14:textFill>
                  <w14:solidFill>
                    <w14:schemeClr w14:val="tx1"/>
                  </w14:solidFill>
                </w14:textFill>
              </w:rPr>
              <w:t>3</w:t>
            </w:r>
            <w:r>
              <w:rPr>
                <w:rFonts w:hint="eastAsia" w:ascii="Times New Roman" w:hAnsi="Times New Roman" w:eastAsia="宋体" w:cs="Times New Roman"/>
                <w:color w:val="000000" w:themeColor="text1"/>
                <w:szCs w:val="21"/>
                <w:lang w:val="en-US" w:eastAsia="zh-CN"/>
                <w14:textFill>
                  <w14:solidFill>
                    <w14:schemeClr w14:val="tx1"/>
                  </w14:solidFill>
                </w14:textFill>
              </w:rPr>
              <w:t>合成的影响。</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（4）</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【参考答案】强  </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【典型错误】弱 </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【错因分析】学生未读懂“处理天数与光合效率”曲线，叶黄素循环抑制剂加入后光合效率下降没有D1蛋白周转抑制剂加入后光合效率下降的多，说明D1蛋白周转比叶黄素循环对番茄植株的保护作用强。</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【参考答案】与对照组相比，C组和D组番茄光合效率下降，且D组下降得更多</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【典型错误】几乎答不到“与对照组相比，C组和D组番茄光合效率下降”、表述只从C组角度作答、表述不精练</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【错因分析】审题能力不足，未明确答题点；语言表述能力需提高。</w:t>
            </w:r>
            <w:r>
              <w:rPr>
                <w:rFonts w:hint="default" w:ascii="Times New Roman" w:hAnsi="Times New Roman" w:eastAsia="宋体" w:cs="Times New Roman"/>
                <w:color w:val="000000" w:themeColor="text1"/>
                <w:szCs w:val="21"/>
                <w:lang w:val="en-US" w:eastAsia="zh-CN"/>
                <w14:textFill>
                  <w14:solidFill>
                    <w14:schemeClr w14:val="tx1"/>
                  </w14:solidFill>
                </w14:textFill>
              </w:rPr>
              <w:t>【教学建议】</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1.规范书写，练习专有</w:t>
            </w:r>
            <w:r>
              <w:rPr>
                <w:rFonts w:hint="default" w:ascii="Times New Roman" w:hAnsi="Times New Roman" w:eastAsia="宋体" w:cs="Times New Roman"/>
                <w:color w:val="000000" w:themeColor="text1"/>
                <w:szCs w:val="21"/>
                <w:lang w:val="en-US" w:eastAsia="zh-CN"/>
                <w14:textFill>
                  <w14:solidFill>
                    <w14:schemeClr w14:val="tx1"/>
                  </w14:solidFill>
                </w14:textFill>
              </w:rPr>
              <w:t>名词</w:t>
            </w:r>
            <w:r>
              <w:rPr>
                <w:rFonts w:hint="eastAsia" w:ascii="Times New Roman" w:hAnsi="Times New Roman" w:eastAsia="宋体" w:cs="Times New Roman"/>
                <w:color w:val="000000" w:themeColor="text1"/>
                <w:szCs w:val="21"/>
                <w:lang w:val="en-US" w:eastAsia="zh-CN"/>
                <w14:textFill>
                  <w14:solidFill>
                    <w14:schemeClr w14:val="tx1"/>
                  </w14:solidFill>
                </w14:textFill>
              </w:rPr>
              <w:t>作答</w:t>
            </w:r>
            <w:r>
              <w:rPr>
                <w:rFonts w:hint="default" w:ascii="Times New Roman" w:hAnsi="Times New Roman" w:eastAsia="宋体" w:cs="Times New Roman"/>
                <w:color w:val="000000" w:themeColor="text1"/>
                <w:szCs w:val="21"/>
                <w:lang w:val="en-US" w:eastAsia="zh-CN"/>
                <w14:textFill>
                  <w14:solidFill>
                    <w14:schemeClr w14:val="tx1"/>
                  </w14:solidFill>
                </w14:textFill>
              </w:rPr>
              <w:t>，避免错别字</w:t>
            </w:r>
            <w:r>
              <w:rPr>
                <w:rFonts w:hint="eastAsia" w:ascii="Times New Roman" w:hAnsi="Times New Roman" w:eastAsia="宋体" w:cs="Times New Roman"/>
                <w:color w:val="000000" w:themeColor="text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2.提升</w:t>
            </w:r>
            <w:r>
              <w:rPr>
                <w:rFonts w:hint="default" w:ascii="Times New Roman" w:hAnsi="Times New Roman" w:eastAsia="宋体" w:cs="Times New Roman"/>
                <w:color w:val="000000" w:themeColor="text1"/>
                <w:szCs w:val="21"/>
                <w:lang w:val="en-US" w:eastAsia="zh-CN"/>
                <w14:textFill>
                  <w14:solidFill>
                    <w14:schemeClr w14:val="tx1"/>
                  </w14:solidFill>
                </w14:textFill>
              </w:rPr>
              <w:t>学生审题能力，紧抓</w:t>
            </w:r>
            <w:r>
              <w:rPr>
                <w:rFonts w:hint="eastAsia" w:ascii="Times New Roman" w:hAnsi="Times New Roman" w:eastAsia="宋体" w:cs="Times New Roman"/>
                <w:color w:val="000000" w:themeColor="text1"/>
                <w:szCs w:val="21"/>
                <w:lang w:val="en-US" w:eastAsia="zh-CN"/>
                <w14:textFill>
                  <w14:solidFill>
                    <w14:schemeClr w14:val="tx1"/>
                  </w14:solidFill>
                </w14:textFill>
              </w:rPr>
              <w:t>题干中的</w:t>
            </w:r>
            <w:r>
              <w:rPr>
                <w:rFonts w:hint="default" w:ascii="Times New Roman" w:hAnsi="Times New Roman" w:eastAsia="宋体" w:cs="Times New Roman"/>
                <w:color w:val="000000" w:themeColor="text1"/>
                <w:szCs w:val="21"/>
                <w:lang w:val="en-US" w:eastAsia="zh-CN"/>
                <w14:textFill>
                  <w14:solidFill>
                    <w14:schemeClr w14:val="tx1"/>
                  </w14:solidFill>
                </w14:textFill>
              </w:rPr>
              <w:t>关键词</w:t>
            </w:r>
            <w:r>
              <w:rPr>
                <w:rFonts w:hint="eastAsia" w:ascii="Times New Roman" w:hAnsi="Times New Roman" w:eastAsia="宋体" w:cs="Times New Roman"/>
                <w:color w:val="000000" w:themeColor="text1"/>
                <w:szCs w:val="21"/>
                <w:lang w:val="en-US" w:eastAsia="zh-CN"/>
                <w14:textFill>
                  <w14:solidFill>
                    <w14:schemeClr w14:val="tx1"/>
                  </w14:solidFill>
                </w14:textFill>
              </w:rPr>
              <w:t>，提取图中的关键信息。</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3.理解重要概念</w:t>
            </w:r>
            <w:r>
              <w:rPr>
                <w:rFonts w:hint="default" w:ascii="Times New Roman" w:hAnsi="Times New Roman" w:eastAsia="宋体" w:cs="Times New Roman"/>
                <w:color w:val="000000" w:themeColor="text1"/>
                <w:szCs w:val="21"/>
                <w:lang w:val="en-US" w:eastAsia="zh-CN"/>
                <w14:textFill>
                  <w14:solidFill>
                    <w14:schemeClr w14:val="tx1"/>
                  </w14:solidFill>
                </w14:textFill>
              </w:rPr>
              <w:t>，</w:t>
            </w:r>
            <w:r>
              <w:rPr>
                <w:rFonts w:hint="eastAsia" w:ascii="Times New Roman" w:hAnsi="Times New Roman" w:eastAsia="宋体" w:cs="Times New Roman"/>
                <w:color w:val="000000" w:themeColor="text1"/>
                <w:szCs w:val="21"/>
                <w:lang w:val="en-US" w:eastAsia="zh-CN"/>
                <w14:textFill>
                  <w14:solidFill>
                    <w14:schemeClr w14:val="tx1"/>
                  </w14:solidFill>
                </w14:textFill>
              </w:rPr>
              <w:t>熟记</w:t>
            </w:r>
            <w:r>
              <w:rPr>
                <w:rFonts w:hint="default" w:ascii="Times New Roman" w:hAnsi="Times New Roman" w:eastAsia="宋体" w:cs="Times New Roman"/>
                <w:color w:val="000000" w:themeColor="text1"/>
                <w:szCs w:val="21"/>
                <w:lang w:val="en-US" w:eastAsia="zh-CN"/>
                <w14:textFill>
                  <w14:solidFill>
                    <w14:schemeClr w14:val="tx1"/>
                  </w14:solidFill>
                </w14:textFill>
              </w:rPr>
              <w:t>光合作用和</w:t>
            </w:r>
            <w:r>
              <w:rPr>
                <w:rFonts w:hint="eastAsia" w:ascii="Times New Roman" w:hAnsi="Times New Roman" w:eastAsia="宋体" w:cs="Times New Roman"/>
                <w:color w:val="000000" w:themeColor="text1"/>
                <w:szCs w:val="21"/>
                <w:lang w:val="en-US" w:eastAsia="zh-CN"/>
                <w14:textFill>
                  <w14:solidFill>
                    <w14:schemeClr w14:val="tx1"/>
                  </w14:solidFill>
                </w14:textFill>
              </w:rPr>
              <w:t>细胞呼吸</w:t>
            </w:r>
            <w:r>
              <w:rPr>
                <w:rFonts w:hint="default" w:ascii="Times New Roman" w:hAnsi="Times New Roman" w:eastAsia="宋体" w:cs="Times New Roman"/>
                <w:color w:val="000000" w:themeColor="text1"/>
                <w:szCs w:val="21"/>
                <w:lang w:val="en-US" w:eastAsia="zh-CN"/>
                <w14:textFill>
                  <w14:solidFill>
                    <w14:schemeClr w14:val="tx1"/>
                  </w14:solidFill>
                </w14:textFill>
              </w:rPr>
              <w:t>过程中物质</w:t>
            </w:r>
            <w:r>
              <w:rPr>
                <w:rFonts w:hint="eastAsia" w:ascii="Times New Roman" w:hAnsi="Times New Roman" w:eastAsia="宋体" w:cs="Times New Roman"/>
                <w:color w:val="000000" w:themeColor="text1"/>
                <w:szCs w:val="21"/>
                <w:lang w:val="en-US" w:eastAsia="zh-CN"/>
                <w14:textFill>
                  <w14:solidFill>
                    <w14:schemeClr w14:val="tx1"/>
                  </w14:solidFill>
                </w14:textFill>
              </w:rPr>
              <w:t>和能量</w:t>
            </w:r>
            <w:r>
              <w:rPr>
                <w:rFonts w:hint="default" w:ascii="Times New Roman" w:hAnsi="Times New Roman" w:eastAsia="宋体" w:cs="Times New Roman"/>
                <w:color w:val="000000" w:themeColor="text1"/>
                <w:szCs w:val="21"/>
                <w:lang w:val="en-US" w:eastAsia="zh-CN"/>
                <w14:textFill>
                  <w14:solidFill>
                    <w14:schemeClr w14:val="tx1"/>
                  </w14:solidFill>
                </w14:textFill>
              </w:rPr>
              <w:t>的变化，</w:t>
            </w:r>
            <w:r>
              <w:rPr>
                <w:rFonts w:hint="eastAsia" w:ascii="Times New Roman" w:hAnsi="Times New Roman" w:eastAsia="宋体" w:cs="Times New Roman"/>
                <w:color w:val="000000" w:themeColor="text1"/>
                <w:szCs w:val="21"/>
                <w:lang w:val="en-US" w:eastAsia="zh-CN"/>
                <w14:textFill>
                  <w14:solidFill>
                    <w14:schemeClr w14:val="tx1"/>
                  </w14:solidFill>
                </w14:textFill>
              </w:rPr>
              <w:t>复习中尝试利用</w:t>
            </w:r>
            <w:r>
              <w:rPr>
                <w:rFonts w:hint="default" w:ascii="Times New Roman" w:hAnsi="Times New Roman" w:eastAsia="宋体" w:cs="Times New Roman"/>
                <w:color w:val="000000" w:themeColor="text1"/>
                <w:szCs w:val="21"/>
                <w:lang w:val="en-US" w:eastAsia="zh-CN"/>
                <w14:textFill>
                  <w14:solidFill>
                    <w14:schemeClr w14:val="tx1"/>
                  </w14:solidFill>
                </w14:textFill>
              </w:rPr>
              <w:t>概念图</w:t>
            </w:r>
            <w:r>
              <w:rPr>
                <w:rFonts w:hint="eastAsia" w:ascii="Times New Roman" w:hAnsi="Times New Roman" w:eastAsia="宋体" w:cs="Times New Roman"/>
                <w:color w:val="000000" w:themeColor="text1"/>
                <w:szCs w:val="21"/>
                <w:lang w:val="en-US" w:eastAsia="zh-CN"/>
                <w14:textFill>
                  <w14:solidFill>
                    <w14:schemeClr w14:val="tx1"/>
                  </w14:solidFill>
                </w14:textFill>
              </w:rPr>
              <w:t>、过程图、流程图</w:t>
            </w:r>
            <w:r>
              <w:rPr>
                <w:rFonts w:hint="default" w:ascii="Times New Roman" w:hAnsi="Times New Roman" w:eastAsia="宋体" w:cs="Times New Roman"/>
                <w:color w:val="000000" w:themeColor="text1"/>
                <w:szCs w:val="21"/>
                <w:lang w:val="en-US" w:eastAsia="zh-CN"/>
                <w14:textFill>
                  <w14:solidFill>
                    <w14:schemeClr w14:val="tx1"/>
                  </w14:solidFill>
                </w14:textFill>
              </w:rPr>
              <w:t>等形式</w:t>
            </w:r>
            <w:r>
              <w:rPr>
                <w:rFonts w:hint="eastAsia" w:ascii="Times New Roman" w:hAnsi="Times New Roman" w:eastAsia="宋体" w:cs="Times New Roman"/>
                <w:color w:val="000000" w:themeColor="text1"/>
                <w:szCs w:val="21"/>
                <w:lang w:val="en-US" w:eastAsia="zh-CN"/>
                <w14:textFill>
                  <w14:solidFill>
                    <w14:schemeClr w14:val="tx1"/>
                  </w14:solidFill>
                </w14:textFill>
              </w:rPr>
              <w:t>帮助</w:t>
            </w:r>
            <w:r>
              <w:rPr>
                <w:rFonts w:hint="default" w:ascii="Times New Roman" w:hAnsi="Times New Roman" w:eastAsia="宋体" w:cs="Times New Roman"/>
                <w:color w:val="000000" w:themeColor="text1"/>
                <w:szCs w:val="21"/>
                <w:lang w:val="en-US" w:eastAsia="zh-CN"/>
                <w14:textFill>
                  <w14:solidFill>
                    <w14:schemeClr w14:val="tx1"/>
                  </w14:solidFill>
                </w14:textFill>
              </w:rPr>
              <w:t>学生从整体上</w:t>
            </w:r>
            <w:r>
              <w:rPr>
                <w:rFonts w:hint="eastAsia" w:ascii="Times New Roman" w:hAnsi="Times New Roman" w:eastAsia="宋体" w:cs="Times New Roman"/>
                <w:color w:val="000000" w:themeColor="text1"/>
                <w:szCs w:val="21"/>
                <w:lang w:val="en-US" w:eastAsia="zh-CN"/>
                <w14:textFill>
                  <w14:solidFill>
                    <w14:schemeClr w14:val="tx1"/>
                  </w14:solidFill>
                </w14:textFill>
              </w:rPr>
              <w:t>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00" w:type="pc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21（11分）</w:t>
            </w:r>
          </w:p>
        </w:tc>
        <w:tc>
          <w:tcPr>
            <w:tcW w:w="649" w:type="pct"/>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均分</w:t>
            </w:r>
            <w:r>
              <w:rPr>
                <w:rFonts w:hint="eastAsia" w:cs="Times New Roman"/>
                <w:color w:val="000000" w:themeColor="text1"/>
                <w:szCs w:val="21"/>
                <w:lang w:val="en-US" w:eastAsia="zh-CN"/>
                <w14:textFill>
                  <w14:solidFill>
                    <w14:schemeClr w14:val="tx1"/>
                  </w14:solidFill>
                </w14:textFill>
              </w:rPr>
              <w:t>7.56</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难度</w:t>
            </w:r>
            <w:r>
              <w:rPr>
                <w:rFonts w:hint="eastAsia" w:cs="Times New Roman"/>
                <w:color w:val="000000" w:themeColor="text1"/>
                <w:szCs w:val="21"/>
                <w:lang w:val="en-US" w:eastAsia="zh-CN"/>
                <w14:textFill>
                  <w14:solidFill>
                    <w14:schemeClr w14:val="tx1"/>
                  </w14:solidFill>
                </w14:textFill>
              </w:rPr>
              <w:t>0.69</w:t>
            </w:r>
          </w:p>
        </w:tc>
        <w:tc>
          <w:tcPr>
            <w:tcW w:w="3650" w:type="pct"/>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【参考答案】染色体结构变异（易位）（答“染色体变异”给分）</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【典型错误】基因重组、基因突变、异位、染色体数目变异、染色体数目变异和结构变异</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【错因分析】不能正确区分三类可遗传变异。</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【参考答案】抑制ATP含磷基团转移到CP上（答“抑制CP磷酸化”给分）</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【典型错误】竞争ATP和BCR-ABL蛋白、不能结合ATP导致供能不足、抑制白细胞异常增殖、与ATP结合使其不能活化CP、与CP结合抑制其磷酸化、抑制BCR-ABL蛋白磷酸化、抑制某些蛋白质磷酸化。</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【错因分析】没有看懂图1的意思，也没有认真阅读题干中对药物S的描述。</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【参考答案】② </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【典型错误】A</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【参考答案】替换</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【典型错误】插入、缺失</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【参考答案】①</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【典型错误】B、③</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【错因分析】没有注意题干中“数字表示过程，字母表示物质”的说明，没有仔细读题，蛋白质只第107位的氨基酸出现异常。</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【参考答案】基因的选择性表达</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Hans"/>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【典型错误】细胞的选择性表达，细胞分化，基因不同，DNA选择性表达；</w:t>
            </w:r>
            <w:r>
              <w:rPr>
                <w:rFonts w:hint="eastAsia" w:ascii="Times New Roman" w:hAnsi="Times New Roman" w:eastAsia="宋体" w:cs="Times New Roman"/>
                <w:color w:val="000000" w:themeColor="text1"/>
                <w:szCs w:val="21"/>
                <w:lang w:val="en-US" w:eastAsia="zh-Hans"/>
                <w14:textFill>
                  <w14:solidFill>
                    <w14:schemeClr w14:val="tx1"/>
                  </w14:solidFill>
                </w14:textFill>
              </w:rPr>
              <w:t>表达的基因不同</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【错因分析】学生不能正确理解细胞分化的本质。学生记忆模糊，不清楚应该是“基因表达”而非“细胞表达”“DNA表达”；</w:t>
            </w:r>
            <w:r>
              <w:rPr>
                <w:rFonts w:hint="eastAsia" w:ascii="Times New Roman" w:hAnsi="Times New Roman" w:eastAsia="宋体" w:cs="Times New Roman"/>
                <w:color w:val="000000" w:themeColor="text1"/>
                <w:szCs w:val="21"/>
                <w:lang w:val="en-US" w:eastAsia="zh-Hans"/>
                <w14:textFill>
                  <w14:solidFill>
                    <w14:schemeClr w14:val="tx1"/>
                  </w14:solidFill>
                </w14:textFill>
              </w:rPr>
              <w:t>不能规范答题</w:t>
            </w:r>
            <w:r>
              <w:rPr>
                <w:rFonts w:hint="default" w:ascii="Times New Roman" w:hAnsi="Times New Roman" w:eastAsia="宋体" w:cs="Times New Roman"/>
                <w:color w:val="000000" w:themeColor="text1"/>
                <w:szCs w:val="21"/>
                <w:lang w:val="en-US" w:eastAsia="zh-Hans"/>
                <w14:textFill>
                  <w14:solidFill>
                    <w14:schemeClr w14:val="tx1"/>
                  </w14:solidFill>
                </w14:textFill>
              </w:rPr>
              <w:t>，</w:t>
            </w:r>
            <w:r>
              <w:rPr>
                <w:rFonts w:hint="eastAsia" w:ascii="Times New Roman" w:hAnsi="Times New Roman" w:eastAsia="宋体" w:cs="Times New Roman"/>
                <w:color w:val="000000" w:themeColor="text1"/>
                <w:szCs w:val="21"/>
                <w:lang w:val="en-US" w:eastAsia="zh-CN"/>
                <w14:textFill>
                  <w14:solidFill>
                    <w14:schemeClr w14:val="tx1"/>
                  </w14:solidFill>
                </w14:textFill>
              </w:rPr>
              <w:t>没有使用专业的生物学用语。</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（4）</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【参考答案】抑制</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【典型错误】促进，“扌卯”制</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w:t>
            </w:r>
            <w:r>
              <w:rPr>
                <w:rFonts w:hint="eastAsia" w:ascii="Times New Roman" w:hAnsi="Times New Roman" w:eastAsia="宋体" w:cs="Times New Roman"/>
                <w:color w:val="000000" w:themeColor="text1"/>
                <w:szCs w:val="21"/>
                <w:lang w:val="en-US" w:eastAsia="zh-Hans"/>
                <w14:textFill>
                  <w14:solidFill>
                    <w14:schemeClr w14:val="tx1"/>
                  </w14:solidFill>
                </w14:textFill>
              </w:rPr>
              <w:t>对表观遗传</w:t>
            </w:r>
            <w:r>
              <w:rPr>
                <w:rFonts w:hint="default" w:ascii="Times New Roman" w:hAnsi="Times New Roman" w:eastAsia="宋体" w:cs="Times New Roman"/>
                <w:color w:val="000000" w:themeColor="text1"/>
                <w:szCs w:val="21"/>
                <w:lang w:val="en-US" w:eastAsia="zh-Hans"/>
                <w14:textFill>
                  <w14:solidFill>
                    <w14:schemeClr w14:val="tx1"/>
                  </w14:solidFill>
                </w14:textFill>
              </w:rPr>
              <w:t>-DNA</w:t>
            </w:r>
            <w:r>
              <w:rPr>
                <w:rFonts w:hint="eastAsia" w:ascii="Times New Roman" w:hAnsi="Times New Roman" w:eastAsia="宋体" w:cs="Times New Roman"/>
                <w:color w:val="000000" w:themeColor="text1"/>
                <w:szCs w:val="21"/>
                <w:lang w:val="en-US" w:eastAsia="zh-Hans"/>
                <w14:textFill>
                  <w14:solidFill>
                    <w14:schemeClr w14:val="tx1"/>
                  </w14:solidFill>
                </w14:textFill>
              </w:rPr>
              <w:t>甲基化的相关知识没有清晰的认识</w:t>
            </w:r>
            <w:r>
              <w:rPr>
                <w:rFonts w:hint="default" w:ascii="Times New Roman" w:hAnsi="Times New Roman" w:eastAsia="宋体" w:cs="Times New Roman"/>
                <w:color w:val="000000" w:themeColor="text1"/>
                <w:szCs w:val="21"/>
                <w:lang w:val="en-US" w:eastAsia="zh-Hans"/>
                <w14:textFill>
                  <w14:solidFill>
                    <w14:schemeClr w14:val="tx1"/>
                  </w14:solidFill>
                </w14:textFill>
              </w:rPr>
              <w:t>；</w:t>
            </w:r>
            <w:r>
              <w:rPr>
                <w:rFonts w:hint="eastAsia" w:ascii="Times New Roman" w:hAnsi="Times New Roman" w:eastAsia="宋体" w:cs="Times New Roman"/>
                <w:color w:val="000000" w:themeColor="text1"/>
                <w:szCs w:val="21"/>
                <w:lang w:val="en-US" w:eastAsia="zh-Hans"/>
                <w14:textFill>
                  <w14:solidFill>
                    <w14:schemeClr w14:val="tx1"/>
                  </w14:solidFill>
                </w14:textFill>
              </w:rPr>
              <w:t>常见字</w:t>
            </w:r>
            <w:r>
              <w:rPr>
                <w:rFonts w:hint="eastAsia" w:ascii="Times New Roman" w:hAnsi="Times New Roman" w:eastAsia="宋体" w:cs="Times New Roman"/>
                <w:color w:val="000000" w:themeColor="text1"/>
                <w:szCs w:val="21"/>
                <w:lang w:val="en-US" w:eastAsia="zh-CN"/>
                <w14:textFill>
                  <w14:solidFill>
                    <w14:schemeClr w14:val="tx1"/>
                  </w14:solidFill>
                </w14:textFill>
              </w:rPr>
              <w:t>书写错误。</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【参考答案】促进</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【典型错误】抑制</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Hans"/>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【错因分析】本题考查结构与功能相适应，对学生的思维有</w:t>
            </w:r>
            <w:r>
              <w:rPr>
                <w:rFonts w:hint="eastAsia" w:ascii="Times New Roman" w:hAnsi="Times New Roman" w:eastAsia="宋体" w:cs="Times New Roman"/>
                <w:color w:val="000000" w:themeColor="text1"/>
                <w:szCs w:val="21"/>
                <w:lang w:val="en-US" w:eastAsia="zh-Hans"/>
                <w14:textFill>
                  <w14:solidFill>
                    <w14:schemeClr w14:val="tx1"/>
                  </w14:solidFill>
                </w14:textFill>
              </w:rPr>
              <w:t>一定</w:t>
            </w:r>
            <w:r>
              <w:rPr>
                <w:rFonts w:hint="eastAsia" w:ascii="Times New Roman" w:hAnsi="Times New Roman" w:eastAsia="宋体" w:cs="Times New Roman"/>
                <w:color w:val="000000" w:themeColor="text1"/>
                <w:szCs w:val="21"/>
                <w:lang w:val="en-US" w:eastAsia="zh-CN"/>
                <w14:textFill>
                  <w14:solidFill>
                    <w14:schemeClr w14:val="tx1"/>
                  </w14:solidFill>
                </w14:textFill>
              </w:rPr>
              <w:t>要求。</w:t>
            </w:r>
            <w:r>
              <w:rPr>
                <w:rFonts w:hint="eastAsia" w:ascii="Times New Roman" w:hAnsi="Times New Roman" w:eastAsia="宋体" w:cs="Times New Roman"/>
                <w:color w:val="000000" w:themeColor="text1"/>
                <w:szCs w:val="21"/>
                <w:lang w:val="en-US" w:eastAsia="zh-Hans"/>
                <w14:textFill>
                  <w14:solidFill>
                    <w14:schemeClr w14:val="tx1"/>
                  </w14:solidFill>
                </w14:textFill>
              </w:rPr>
              <w:t>学生可能了解转录过程和染色体结构</w:t>
            </w:r>
            <w:r>
              <w:rPr>
                <w:rFonts w:hint="default" w:ascii="Times New Roman" w:hAnsi="Times New Roman" w:eastAsia="宋体" w:cs="Times New Roman"/>
                <w:color w:val="000000" w:themeColor="text1"/>
                <w:szCs w:val="21"/>
                <w:lang w:val="en-US" w:eastAsia="zh-Hans"/>
                <w14:textFill>
                  <w14:solidFill>
                    <w14:schemeClr w14:val="tx1"/>
                  </w14:solidFill>
                </w14:textFill>
              </w:rPr>
              <w:t>，</w:t>
            </w:r>
            <w:r>
              <w:rPr>
                <w:rFonts w:hint="eastAsia" w:ascii="Times New Roman" w:hAnsi="Times New Roman" w:eastAsia="宋体" w:cs="Times New Roman"/>
                <w:color w:val="000000" w:themeColor="text1"/>
                <w:szCs w:val="21"/>
                <w:lang w:val="en-US" w:eastAsia="zh-Hans"/>
                <w14:textFill>
                  <w14:solidFill>
                    <w14:schemeClr w14:val="tx1"/>
                  </w14:solidFill>
                </w14:textFill>
              </w:rPr>
              <w:t>但不清楚染色体中蛋白质与</w:t>
            </w:r>
            <w:r>
              <w:rPr>
                <w:rFonts w:hint="default" w:ascii="Times New Roman" w:hAnsi="Times New Roman" w:eastAsia="宋体" w:cs="Times New Roman"/>
                <w:color w:val="000000" w:themeColor="text1"/>
                <w:szCs w:val="21"/>
                <w:lang w:val="en-US" w:eastAsia="zh-Hans"/>
                <w14:textFill>
                  <w14:solidFill>
                    <w14:schemeClr w14:val="tx1"/>
                  </w14:solidFill>
                </w14:textFill>
              </w:rPr>
              <w:t>DNA</w:t>
            </w:r>
            <w:r>
              <w:rPr>
                <w:rFonts w:hint="eastAsia" w:ascii="Times New Roman" w:hAnsi="Times New Roman" w:eastAsia="宋体" w:cs="Times New Roman"/>
                <w:color w:val="000000" w:themeColor="text1"/>
                <w:szCs w:val="21"/>
                <w:lang w:val="en-US" w:eastAsia="zh-Hans"/>
                <w14:textFill>
                  <w14:solidFill>
                    <w14:schemeClr w14:val="tx1"/>
                  </w14:solidFill>
                </w14:textFill>
              </w:rPr>
              <w:t>形成的结构松散与转录起始的关系</w:t>
            </w:r>
            <w:r>
              <w:rPr>
                <w:rFonts w:hint="default" w:ascii="Times New Roman" w:hAnsi="Times New Roman" w:eastAsia="宋体" w:cs="Times New Roman"/>
                <w:color w:val="000000" w:themeColor="text1"/>
                <w:szCs w:val="21"/>
                <w:lang w:val="en-US"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【参考答案】分子杂交（PCR）</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【典型错误】DNA分子杂交、RNA分子杂交、抗原-抗体杂交、分子探针、电泳</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w:t>
            </w:r>
            <w:r>
              <w:rPr>
                <w:rFonts w:hint="eastAsia" w:ascii="Times New Roman" w:hAnsi="Times New Roman" w:eastAsia="宋体" w:cs="Times New Roman"/>
                <w:color w:val="000000" w:themeColor="text1"/>
                <w:szCs w:val="21"/>
                <w:lang w:val="en-US" w:eastAsia="zh-Hans"/>
                <w14:textFill>
                  <w14:solidFill>
                    <w14:schemeClr w14:val="tx1"/>
                  </w14:solidFill>
                </w14:textFill>
              </w:rPr>
              <w:t>在基因工程一章目的基因的检测与鉴定部分</w:t>
            </w:r>
            <w:r>
              <w:rPr>
                <w:rFonts w:hint="default" w:ascii="Times New Roman" w:hAnsi="Times New Roman" w:eastAsia="宋体" w:cs="Times New Roman"/>
                <w:color w:val="000000" w:themeColor="text1"/>
                <w:szCs w:val="21"/>
                <w:lang w:val="en-US" w:eastAsia="zh-Hans"/>
                <w14:textFill>
                  <w14:solidFill>
                    <w14:schemeClr w14:val="tx1"/>
                  </w14:solidFill>
                </w14:textFill>
              </w:rPr>
              <w:t>，</w:t>
            </w:r>
            <w:r>
              <w:rPr>
                <w:rFonts w:hint="eastAsia" w:ascii="Times New Roman" w:hAnsi="Times New Roman" w:eastAsia="宋体" w:cs="Times New Roman"/>
                <w:color w:val="000000" w:themeColor="text1"/>
                <w:szCs w:val="21"/>
                <w:lang w:val="en-US" w:eastAsia="zh-Hans"/>
                <w14:textFill>
                  <w14:solidFill>
                    <w14:schemeClr w14:val="tx1"/>
                  </w14:solidFill>
                </w14:textFill>
              </w:rPr>
              <w:t>人教版教材与苏教版教材中</w:t>
            </w:r>
            <w:r>
              <w:rPr>
                <w:rFonts w:hint="eastAsia" w:ascii="Times New Roman" w:hAnsi="Times New Roman" w:eastAsia="宋体" w:cs="Times New Roman"/>
                <w:color w:val="000000" w:themeColor="text1"/>
                <w:szCs w:val="21"/>
                <w:lang w:val="en-US" w:eastAsia="zh-CN"/>
                <w14:textFill>
                  <w14:solidFill>
                    <w14:schemeClr w14:val="tx1"/>
                  </w14:solidFill>
                </w14:textFill>
              </w:rPr>
              <w:t>有</w:t>
            </w:r>
            <w:r>
              <w:rPr>
                <w:rFonts w:hint="eastAsia" w:ascii="Times New Roman" w:hAnsi="Times New Roman" w:eastAsia="宋体" w:cs="Times New Roman"/>
                <w:color w:val="000000" w:themeColor="text1"/>
                <w:szCs w:val="21"/>
                <w:lang w:val="en-US" w:eastAsia="zh-Hans"/>
                <w14:textFill>
                  <w14:solidFill>
                    <w14:schemeClr w14:val="tx1"/>
                  </w14:solidFill>
                </w14:textFill>
              </w:rPr>
              <w:t>相关</w:t>
            </w:r>
            <w:r>
              <w:rPr>
                <w:rFonts w:hint="eastAsia" w:ascii="Times New Roman" w:hAnsi="Times New Roman" w:eastAsia="宋体" w:cs="Times New Roman"/>
                <w:color w:val="000000" w:themeColor="text1"/>
                <w:szCs w:val="21"/>
                <w:lang w:val="en-US" w:eastAsia="zh-CN"/>
                <w14:textFill>
                  <w14:solidFill>
                    <w14:schemeClr w14:val="tx1"/>
                  </w14:solidFill>
                </w14:textFill>
              </w:rPr>
              <w:t>语言描述。</w:t>
            </w:r>
            <w:r>
              <w:rPr>
                <w:rFonts w:hint="eastAsia" w:ascii="Times New Roman" w:hAnsi="Times New Roman" w:eastAsia="宋体" w:cs="Times New Roman"/>
                <w:color w:val="000000" w:themeColor="text1"/>
                <w:szCs w:val="21"/>
                <w:lang w:val="en-US" w:eastAsia="zh-Hans"/>
                <w14:textFill>
                  <w14:solidFill>
                    <w14:schemeClr w14:val="tx1"/>
                  </w14:solidFill>
                </w14:textFill>
              </w:rPr>
              <w:t>学生对此部分印象不深刻</w:t>
            </w:r>
            <w:r>
              <w:rPr>
                <w:rFonts w:hint="default" w:ascii="Times New Roman" w:hAnsi="Times New Roman" w:eastAsia="宋体" w:cs="Times New Roman"/>
                <w:color w:val="000000" w:themeColor="text1"/>
                <w:szCs w:val="21"/>
                <w:lang w:val="en-US" w:eastAsia="zh-Hans"/>
                <w14:textFill>
                  <w14:solidFill>
                    <w14:schemeClr w14:val="tx1"/>
                  </w14:solidFill>
                </w14:textFill>
              </w:rPr>
              <w:t>，</w:t>
            </w:r>
            <w:r>
              <w:rPr>
                <w:rFonts w:hint="eastAsia" w:ascii="Times New Roman" w:hAnsi="Times New Roman" w:eastAsia="宋体" w:cs="Times New Roman"/>
                <w:color w:val="000000" w:themeColor="text1"/>
                <w:szCs w:val="21"/>
                <w:lang w:val="en-US" w:eastAsia="zh-Hans"/>
                <w14:textFill>
                  <w14:solidFill>
                    <w14:schemeClr w14:val="tx1"/>
                  </w14:solidFill>
                </w14:textFill>
              </w:rPr>
              <w:t>不能弄清各种技术的差别</w:t>
            </w:r>
            <w:r>
              <w:rPr>
                <w:rFonts w:hint="default" w:ascii="Times New Roman" w:hAnsi="Times New Roman" w:eastAsia="宋体" w:cs="Times New Roman"/>
                <w:color w:val="000000" w:themeColor="text1"/>
                <w:szCs w:val="21"/>
                <w:lang w:val="en-US" w:eastAsia="zh-Hans"/>
                <w14:textFill>
                  <w14:solidFill>
                    <w14:schemeClr w14:val="tx1"/>
                  </w14:solidFill>
                </w14:textFill>
              </w:rPr>
              <w:t>，</w:t>
            </w:r>
            <w:r>
              <w:rPr>
                <w:rFonts w:hint="eastAsia" w:ascii="Times New Roman" w:hAnsi="Times New Roman" w:eastAsia="宋体" w:cs="Times New Roman"/>
                <w:color w:val="000000" w:themeColor="text1"/>
                <w:szCs w:val="21"/>
                <w:lang w:val="en-US" w:eastAsia="zh-Hans"/>
                <w14:textFill>
                  <w14:solidFill>
                    <w14:schemeClr w14:val="tx1"/>
                  </w14:solidFill>
                </w14:textFill>
              </w:rPr>
              <w:t>如</w:t>
            </w:r>
            <w:r>
              <w:rPr>
                <w:rFonts w:hint="default" w:ascii="Times New Roman" w:hAnsi="Times New Roman" w:eastAsia="宋体" w:cs="Times New Roman"/>
                <w:color w:val="000000" w:themeColor="text1"/>
                <w:szCs w:val="21"/>
                <w:lang w:val="en-US" w:eastAsia="zh-Hans"/>
                <w14:textFill>
                  <w14:solidFill>
                    <w14:schemeClr w14:val="tx1"/>
                  </w14:solidFill>
                </w14:textFill>
              </w:rPr>
              <w:t>：DNA</w:t>
            </w:r>
            <w:r>
              <w:rPr>
                <w:rFonts w:hint="eastAsia" w:ascii="Times New Roman" w:hAnsi="Times New Roman" w:eastAsia="宋体" w:cs="Times New Roman"/>
                <w:color w:val="000000" w:themeColor="text1"/>
                <w:szCs w:val="21"/>
                <w:lang w:val="en-US" w:eastAsia="zh-Hans"/>
                <w14:textFill>
                  <w14:solidFill>
                    <w14:schemeClr w14:val="tx1"/>
                  </w14:solidFill>
                </w14:textFill>
              </w:rPr>
              <w:t>分子杂交与分子杂交</w:t>
            </w:r>
            <w:r>
              <w:rPr>
                <w:rFonts w:hint="default" w:ascii="Times New Roman" w:hAnsi="Times New Roman" w:eastAsia="宋体" w:cs="Times New Roman"/>
                <w:color w:val="000000" w:themeColor="text1"/>
                <w:szCs w:val="21"/>
                <w:lang w:val="en-US" w:eastAsia="zh-Hans"/>
                <w14:textFill>
                  <w14:solidFill>
                    <w14:schemeClr w14:val="tx1"/>
                  </w14:solidFill>
                </w14:textFill>
              </w:rPr>
              <w:t>；</w:t>
            </w:r>
            <w:r>
              <w:rPr>
                <w:rFonts w:hint="eastAsia" w:ascii="Times New Roman" w:hAnsi="Times New Roman" w:eastAsia="宋体" w:cs="Times New Roman"/>
                <w:color w:val="000000" w:themeColor="text1"/>
                <w:szCs w:val="21"/>
                <w:lang w:val="en-US" w:eastAsia="zh-Hans"/>
                <w14:textFill>
                  <w14:solidFill>
                    <w14:schemeClr w14:val="tx1"/>
                  </w14:solidFill>
                </w14:textFill>
              </w:rPr>
              <w:t>没有明白分子杂交或</w:t>
            </w:r>
            <w:r>
              <w:rPr>
                <w:rFonts w:hint="eastAsia" w:ascii="Times New Roman" w:hAnsi="Times New Roman" w:eastAsia="宋体" w:cs="Times New Roman"/>
                <w:color w:val="000000" w:themeColor="text1"/>
                <w:szCs w:val="21"/>
                <w:lang w:val="en-US" w:eastAsia="zh-CN"/>
                <w14:textFill>
                  <w14:solidFill>
                    <w14:schemeClr w14:val="tx1"/>
                  </w14:solidFill>
                </w14:textFill>
              </w:rPr>
              <w:t>PCR</w:t>
            </w:r>
            <w:r>
              <w:rPr>
                <w:rFonts w:hint="eastAsia" w:ascii="Times New Roman" w:hAnsi="Times New Roman" w:eastAsia="宋体" w:cs="Times New Roman"/>
                <w:color w:val="000000" w:themeColor="text1"/>
                <w:szCs w:val="21"/>
                <w:lang w:val="en-US" w:eastAsia="zh-Hans"/>
                <w14:textFill>
                  <w14:solidFill>
                    <w14:schemeClr w14:val="tx1"/>
                  </w14:solidFill>
                </w14:textFill>
              </w:rPr>
              <w:t>检测与</w:t>
            </w:r>
            <w:r>
              <w:rPr>
                <w:rFonts w:hint="eastAsia" w:ascii="Times New Roman" w:hAnsi="Times New Roman" w:eastAsia="宋体" w:cs="Times New Roman"/>
                <w:color w:val="000000" w:themeColor="text1"/>
                <w:szCs w:val="21"/>
                <w:lang w:val="en-US" w:eastAsia="zh-CN"/>
                <w14:textFill>
                  <w14:solidFill>
                    <w14:schemeClr w14:val="tx1"/>
                  </w14:solidFill>
                </w14:textFill>
              </w:rPr>
              <w:t>抗原-抗体杂交</w:t>
            </w:r>
            <w:r>
              <w:rPr>
                <w:rFonts w:hint="eastAsia" w:ascii="Times New Roman" w:hAnsi="Times New Roman" w:eastAsia="宋体" w:cs="Times New Roman"/>
                <w:color w:val="000000" w:themeColor="text1"/>
                <w:szCs w:val="21"/>
                <w:lang w:val="en-US" w:eastAsia="zh-Hans"/>
                <w14:textFill>
                  <w14:solidFill>
                    <w14:schemeClr w14:val="tx1"/>
                  </w14:solidFill>
                </w14:textFill>
              </w:rPr>
              <w:t>检测的对象差异</w:t>
            </w:r>
            <w:r>
              <w:rPr>
                <w:rFonts w:hint="default" w:ascii="Times New Roman" w:hAnsi="Times New Roman" w:eastAsia="宋体" w:cs="Times New Roman"/>
                <w:color w:val="000000" w:themeColor="text1"/>
                <w:szCs w:val="21"/>
                <w:lang w:val="en-US"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【参考答案】去甲基化（抑制甲基化、甲基化抑制剂、甲基化酶抑制剂）</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【典型错误】抗氧化酶促进剂，促进甲基化</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【错因分析】本题考查</w:t>
            </w:r>
            <w:r>
              <w:rPr>
                <w:rFonts w:hint="eastAsia" w:ascii="Times New Roman" w:hAnsi="Times New Roman" w:eastAsia="宋体" w:cs="Times New Roman"/>
                <w:color w:val="000000" w:themeColor="text1"/>
                <w:szCs w:val="21"/>
                <w:lang w:val="en-US" w:eastAsia="zh-Hans"/>
                <w14:textFill>
                  <w14:solidFill>
                    <w14:schemeClr w14:val="tx1"/>
                  </w14:solidFill>
                </w14:textFill>
              </w:rPr>
              <w:t>基础知识以及</w:t>
            </w:r>
            <w:r>
              <w:rPr>
                <w:rFonts w:hint="eastAsia" w:ascii="Times New Roman" w:hAnsi="Times New Roman" w:eastAsia="宋体" w:cs="Times New Roman"/>
                <w:color w:val="000000" w:themeColor="text1"/>
                <w:szCs w:val="21"/>
                <w:lang w:val="en-US" w:eastAsia="zh-CN"/>
                <w14:textFill>
                  <w14:solidFill>
                    <w14:schemeClr w14:val="tx1"/>
                  </w14:solidFill>
                </w14:textFill>
              </w:rPr>
              <w:t>对实验结果的</w:t>
            </w:r>
            <w:r>
              <w:rPr>
                <w:rFonts w:hint="eastAsia" w:ascii="Times New Roman" w:hAnsi="Times New Roman" w:eastAsia="宋体" w:cs="Times New Roman"/>
                <w:color w:val="000000" w:themeColor="text1"/>
                <w:szCs w:val="21"/>
                <w:lang w:val="en-US" w:eastAsia="zh-Hans"/>
                <w14:textFill>
                  <w14:solidFill>
                    <w14:schemeClr w14:val="tx1"/>
                  </w14:solidFill>
                </w14:textFill>
              </w:rPr>
              <w:t>分析</w:t>
            </w:r>
            <w:r>
              <w:rPr>
                <w:rFonts w:hint="eastAsia" w:ascii="Times New Roman" w:hAnsi="Times New Roman" w:eastAsia="宋体" w:cs="Times New Roman"/>
                <w:color w:val="000000" w:themeColor="text1"/>
                <w:szCs w:val="21"/>
                <w:lang w:val="en-US" w:eastAsia="zh-CN"/>
                <w14:textFill>
                  <w14:solidFill>
                    <w14:schemeClr w14:val="tx1"/>
                  </w14:solidFill>
                </w14:textFill>
              </w:rPr>
              <w:t>。需要学生</w:t>
            </w:r>
            <w:r>
              <w:rPr>
                <w:rFonts w:hint="eastAsia" w:ascii="Times New Roman" w:hAnsi="Times New Roman" w:eastAsia="宋体" w:cs="Times New Roman"/>
                <w:color w:val="000000" w:themeColor="text1"/>
                <w:szCs w:val="21"/>
                <w:lang w:val="en-US" w:eastAsia="zh-Hans"/>
                <w14:textFill>
                  <w14:solidFill>
                    <w14:schemeClr w14:val="tx1"/>
                  </w14:solidFill>
                </w14:textFill>
              </w:rPr>
              <w:t>明白</w:t>
            </w:r>
            <w:r>
              <w:rPr>
                <w:rFonts w:hint="default" w:ascii="Times New Roman" w:hAnsi="Times New Roman" w:eastAsia="宋体" w:cs="Times New Roman"/>
                <w:color w:val="000000" w:themeColor="text1"/>
                <w:szCs w:val="21"/>
                <w:lang w:val="en-US" w:eastAsia="zh-Hans"/>
                <w14:textFill>
                  <w14:solidFill>
                    <w14:schemeClr w14:val="tx1"/>
                  </w14:solidFill>
                </w14:textFill>
              </w:rPr>
              <w:t>DNA</w:t>
            </w:r>
            <w:r>
              <w:rPr>
                <w:rFonts w:hint="eastAsia" w:ascii="Times New Roman" w:hAnsi="Times New Roman" w:eastAsia="宋体" w:cs="Times New Roman"/>
                <w:color w:val="000000" w:themeColor="text1"/>
                <w:szCs w:val="21"/>
                <w:lang w:val="en-US" w:eastAsia="zh-Hans"/>
                <w14:textFill>
                  <w14:solidFill>
                    <w14:schemeClr w14:val="tx1"/>
                  </w14:solidFill>
                </w14:textFill>
              </w:rPr>
              <w:t>甲基化抑制基因转录</w:t>
            </w:r>
            <w:r>
              <w:rPr>
                <w:rFonts w:hint="default" w:ascii="Times New Roman" w:hAnsi="Times New Roman" w:eastAsia="宋体" w:cs="Times New Roman"/>
                <w:color w:val="000000" w:themeColor="text1"/>
                <w:szCs w:val="21"/>
                <w:lang w:val="en-US" w:eastAsia="zh-Hans"/>
                <w14:textFill>
                  <w14:solidFill>
                    <w14:schemeClr w14:val="tx1"/>
                  </w14:solidFill>
                </w14:textFill>
              </w:rPr>
              <w:t>，</w:t>
            </w:r>
            <w:r>
              <w:rPr>
                <w:rFonts w:hint="eastAsia" w:ascii="Times New Roman" w:hAnsi="Times New Roman" w:eastAsia="宋体" w:cs="Times New Roman"/>
                <w:color w:val="000000" w:themeColor="text1"/>
                <w:szCs w:val="21"/>
                <w:lang w:val="en-US" w:eastAsia="zh-Hans"/>
                <w14:textFill>
                  <w14:solidFill>
                    <w14:schemeClr w14:val="tx1"/>
                  </w14:solidFill>
                </w14:textFill>
              </w:rPr>
              <w:t>同时看懂柱形图</w:t>
            </w:r>
            <w:r>
              <w:rPr>
                <w:rFonts w:hint="default" w:ascii="Times New Roman" w:hAnsi="Times New Roman" w:eastAsia="宋体" w:cs="Times New Roman"/>
                <w:color w:val="000000" w:themeColor="text1"/>
                <w:szCs w:val="21"/>
                <w:lang w:val="en-US" w:eastAsia="zh-Hans"/>
                <w14:textFill>
                  <w14:solidFill>
                    <w14:schemeClr w14:val="tx1"/>
                  </w14:solidFill>
                </w14:textFill>
              </w:rPr>
              <w:t>；</w:t>
            </w:r>
            <w:r>
              <w:rPr>
                <w:rFonts w:hint="eastAsia" w:ascii="Times New Roman" w:hAnsi="Times New Roman" w:eastAsia="宋体" w:cs="Times New Roman"/>
                <w:color w:val="000000" w:themeColor="text1"/>
                <w:szCs w:val="21"/>
                <w:lang w:val="en-US" w:eastAsia="zh-Hans"/>
                <w14:textFill>
                  <w14:solidFill>
                    <w14:schemeClr w14:val="tx1"/>
                  </w14:solidFill>
                </w14:textFill>
              </w:rPr>
              <w:t>注意规范用语</w:t>
            </w:r>
            <w:r>
              <w:rPr>
                <w:rFonts w:hint="default" w:ascii="Times New Roman" w:hAnsi="Times New Roman" w:eastAsia="宋体" w:cs="Times New Roman"/>
                <w:color w:val="000000" w:themeColor="text1"/>
                <w:szCs w:val="21"/>
                <w:lang w:val="en-US"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【参考答案】DNA甲基化</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【典型错误】组蛋白修饰，GPX3基因甲基化，负反馈，反馈</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【错因分析】学生对柱形图的分析能力欠缺，无法从图中分析得出正确结论；审题不清，题干中提取重要信息的能力需提高，没有明确探究实验的目的，因此无法把握实验结论的方向。</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【教学建议】</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1.加强重要概念、名词的理解和书写。基本概念多辨析，如本题重点考查了三种可遗传变异类型的判断。</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2.学生结合材料和图示信息，提炼答案信息的能力需要在平时的教学中逐渐渗透，务必用足题中信息，对于题干、图表信息的读取和分析要在平时的教学中多让学生说一说，写一写。</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3.实验题的分析可引导学生围绕实验目的、实验材料的处理、实验变量的设置、实验原则的运用等开展教学。</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4.表观遗传部分是新教材的内容</w:t>
            </w:r>
            <w:r>
              <w:rPr>
                <w:rFonts w:hint="default" w:ascii="Times New Roman" w:hAnsi="Times New Roman" w:eastAsia="宋体" w:cs="Times New Roman"/>
                <w:color w:val="000000" w:themeColor="text1"/>
                <w:szCs w:val="21"/>
                <w:lang w:val="en-US" w:eastAsia="zh-CN"/>
                <w14:textFill>
                  <w14:solidFill>
                    <w14:schemeClr w14:val="tx1"/>
                  </w14:solidFill>
                </w14:textFill>
              </w:rPr>
              <w:t>，</w:t>
            </w:r>
            <w:r>
              <w:rPr>
                <w:rFonts w:hint="eastAsia" w:ascii="Times New Roman" w:hAnsi="Times New Roman" w:eastAsia="宋体" w:cs="Times New Roman"/>
                <w:color w:val="000000" w:themeColor="text1"/>
                <w:szCs w:val="21"/>
                <w:lang w:val="en-US" w:eastAsia="zh-Hans"/>
                <w14:textFill>
                  <w14:solidFill>
                    <w14:schemeClr w14:val="tx1"/>
                  </w14:solidFill>
                </w14:textFill>
              </w:rPr>
              <w:t>也是以前教学容易忽略的部分</w:t>
            </w:r>
            <w:r>
              <w:rPr>
                <w:rFonts w:hint="default" w:ascii="Times New Roman" w:hAnsi="Times New Roman" w:eastAsia="宋体" w:cs="Times New Roman"/>
                <w:color w:val="000000" w:themeColor="text1"/>
                <w:szCs w:val="21"/>
                <w:lang w:val="en-US" w:eastAsia="zh-Hans"/>
                <w14:textFill>
                  <w14:solidFill>
                    <w14:schemeClr w14:val="tx1"/>
                  </w14:solidFill>
                </w14:textFill>
              </w:rPr>
              <w:t>。</w:t>
            </w:r>
            <w:r>
              <w:rPr>
                <w:rFonts w:hint="eastAsia" w:ascii="Times New Roman" w:hAnsi="Times New Roman" w:eastAsia="宋体" w:cs="Times New Roman"/>
                <w:color w:val="000000" w:themeColor="text1"/>
                <w:szCs w:val="21"/>
                <w:lang w:val="en-US" w:eastAsia="zh-CN"/>
                <w14:textFill>
                  <w14:solidFill>
                    <w14:schemeClr w14:val="tx1"/>
                  </w14:solidFill>
                </w14:textFill>
              </w:rPr>
              <w:t>这就要求老师在平时教学中多加注意，关注新</w:t>
            </w:r>
            <w:r>
              <w:rPr>
                <w:rFonts w:hint="eastAsia" w:ascii="Times New Roman" w:hAnsi="Times New Roman" w:eastAsia="宋体" w:cs="Times New Roman"/>
                <w:color w:val="000000" w:themeColor="text1"/>
                <w:szCs w:val="21"/>
                <w:lang w:val="en-US" w:eastAsia="zh-Hans"/>
                <w14:textFill>
                  <w14:solidFill>
                    <w14:schemeClr w14:val="tx1"/>
                  </w14:solidFill>
                </w14:textFill>
              </w:rPr>
              <w:t>旧</w:t>
            </w:r>
            <w:r>
              <w:rPr>
                <w:rFonts w:hint="eastAsia" w:ascii="Times New Roman" w:hAnsi="Times New Roman" w:eastAsia="宋体" w:cs="Times New Roman"/>
                <w:color w:val="000000" w:themeColor="text1"/>
                <w:szCs w:val="21"/>
                <w:lang w:val="en-US" w:eastAsia="zh-CN"/>
                <w14:textFill>
                  <w14:solidFill>
                    <w14:schemeClr w14:val="tx1"/>
                  </w14:solidFill>
                </w14:textFill>
              </w:rPr>
              <w:t>教材知识</w:t>
            </w:r>
            <w:r>
              <w:rPr>
                <w:rFonts w:hint="eastAsia" w:ascii="Times New Roman" w:hAnsi="Times New Roman" w:eastAsia="宋体" w:cs="Times New Roman"/>
                <w:color w:val="000000" w:themeColor="text1"/>
                <w:szCs w:val="21"/>
                <w:lang w:val="en-US" w:eastAsia="zh-Hans"/>
                <w14:textFill>
                  <w14:solidFill>
                    <w14:schemeClr w14:val="tx1"/>
                  </w14:solidFill>
                </w14:textFill>
              </w:rPr>
              <w:t>对比</w:t>
            </w:r>
            <w:r>
              <w:rPr>
                <w:rFonts w:hint="default" w:ascii="Times New Roman" w:hAnsi="Times New Roman" w:eastAsia="宋体" w:cs="Times New Roman"/>
                <w:color w:val="000000" w:themeColor="text1"/>
                <w:szCs w:val="21"/>
                <w:lang w:val="en-US" w:eastAsia="zh-Hans"/>
                <w14:textFill>
                  <w14:solidFill>
                    <w14:schemeClr w14:val="tx1"/>
                  </w14:solidFill>
                </w14:textFill>
              </w:rPr>
              <w:t>；</w:t>
            </w:r>
            <w:r>
              <w:rPr>
                <w:rFonts w:hint="eastAsia" w:ascii="Times New Roman" w:hAnsi="Times New Roman" w:eastAsia="宋体" w:cs="Times New Roman"/>
                <w:color w:val="000000" w:themeColor="text1"/>
                <w:szCs w:val="21"/>
                <w:lang w:val="en-US" w:eastAsia="zh-Hans"/>
                <w14:textFill>
                  <w14:solidFill>
                    <w14:schemeClr w14:val="tx1"/>
                  </w14:solidFill>
                </w14:textFill>
              </w:rPr>
              <w:t>基因工程部分涉及到的科研前沿知识技术较多</w:t>
            </w:r>
            <w:r>
              <w:rPr>
                <w:rFonts w:hint="default" w:ascii="Times New Roman" w:hAnsi="Times New Roman" w:eastAsia="宋体" w:cs="Times New Roman"/>
                <w:color w:val="000000" w:themeColor="text1"/>
                <w:szCs w:val="21"/>
                <w:lang w:val="en-US" w:eastAsia="zh-Hans"/>
                <w14:textFill>
                  <w14:solidFill>
                    <w14:schemeClr w14:val="tx1"/>
                  </w14:solidFill>
                </w14:textFill>
              </w:rPr>
              <w:t>，</w:t>
            </w:r>
            <w:r>
              <w:rPr>
                <w:rFonts w:hint="eastAsia" w:ascii="Times New Roman" w:hAnsi="Times New Roman" w:eastAsia="宋体" w:cs="Times New Roman"/>
                <w:color w:val="000000" w:themeColor="text1"/>
                <w:szCs w:val="21"/>
                <w:lang w:val="en-US" w:eastAsia="zh-Hans"/>
                <w14:textFill>
                  <w14:solidFill>
                    <w14:schemeClr w14:val="tx1"/>
                  </w14:solidFill>
                </w14:textFill>
              </w:rPr>
              <w:t>平时教学中应适度拓展</w:t>
            </w:r>
            <w:r>
              <w:rPr>
                <w:rFonts w:hint="default" w:ascii="Times New Roman" w:hAnsi="Times New Roman" w:eastAsia="宋体" w:cs="Times New Roman"/>
                <w:color w:val="000000" w:themeColor="text1"/>
                <w:szCs w:val="21"/>
                <w:lang w:val="en-US" w:eastAsia="zh-Hans"/>
                <w14:textFill>
                  <w14:solidFill>
                    <w14:schemeClr w14:val="tx1"/>
                  </w14:solidFill>
                </w14:textFill>
              </w:rPr>
              <w:t>，</w:t>
            </w:r>
            <w:r>
              <w:rPr>
                <w:rFonts w:hint="eastAsia" w:ascii="Times New Roman" w:hAnsi="Times New Roman" w:eastAsia="宋体" w:cs="Times New Roman"/>
                <w:color w:val="000000" w:themeColor="text1"/>
                <w:szCs w:val="21"/>
                <w:lang w:val="en-US" w:eastAsia="zh-Hans"/>
                <w14:textFill>
                  <w14:solidFill>
                    <w14:schemeClr w14:val="tx1"/>
                  </w14:solidFill>
                </w14:textFill>
              </w:rPr>
              <w:t>与教材内容相联系</w:t>
            </w:r>
            <w:r>
              <w:rPr>
                <w:rFonts w:hint="default" w:ascii="Times New Roman" w:hAnsi="Times New Roman" w:eastAsia="宋体" w:cs="Times New Roman"/>
                <w:color w:val="000000" w:themeColor="text1"/>
                <w:szCs w:val="21"/>
                <w:lang w:val="en-US" w:eastAsia="zh-Hans"/>
                <w14:textFill>
                  <w14:solidFill>
                    <w14:schemeClr w14:val="tx1"/>
                  </w14:solidFill>
                </w14:textFill>
              </w:rPr>
              <w:t>，</w:t>
            </w:r>
            <w:r>
              <w:rPr>
                <w:rFonts w:hint="eastAsia" w:ascii="Times New Roman" w:hAnsi="Times New Roman" w:eastAsia="宋体" w:cs="Times New Roman"/>
                <w:color w:val="000000" w:themeColor="text1"/>
                <w:szCs w:val="21"/>
                <w:lang w:val="en-US" w:eastAsia="zh-Hans"/>
                <w14:textFill>
                  <w14:solidFill>
                    <w14:schemeClr w14:val="tx1"/>
                  </w14:solidFill>
                </w14:textFill>
              </w:rPr>
              <w:t>适度剖析</w:t>
            </w:r>
            <w:r>
              <w:rPr>
                <w:rFonts w:hint="default" w:ascii="Times New Roman" w:hAnsi="Times New Roman" w:eastAsia="宋体" w:cs="Times New Roman"/>
                <w:color w:val="000000" w:themeColor="text1"/>
                <w:szCs w:val="21"/>
                <w:lang w:val="en-US" w:eastAsia="zh-Hans"/>
                <w14:textFill>
                  <w14:solidFill>
                    <w14:schemeClr w14:val="tx1"/>
                  </w14:solidFill>
                </w14:textFill>
              </w:rPr>
              <w:t>，</w:t>
            </w:r>
            <w:r>
              <w:rPr>
                <w:rFonts w:hint="eastAsia" w:ascii="Times New Roman" w:hAnsi="Times New Roman" w:eastAsia="宋体" w:cs="Times New Roman"/>
                <w:color w:val="000000" w:themeColor="text1"/>
                <w:szCs w:val="21"/>
                <w:lang w:val="en-US" w:eastAsia="zh-Hans"/>
                <w14:textFill>
                  <w14:solidFill>
                    <w14:schemeClr w14:val="tx1"/>
                  </w14:solidFill>
                </w14:textFill>
              </w:rPr>
              <w:t>夯实基础的同时拓展视野</w:t>
            </w:r>
            <w:r>
              <w:rPr>
                <w:rFonts w:hint="default" w:ascii="Times New Roman" w:hAnsi="Times New Roman" w:eastAsia="宋体" w:cs="Times New Roman"/>
                <w:color w:val="000000" w:themeColor="text1"/>
                <w:szCs w:val="21"/>
                <w:lang w:val="en-US" w:eastAsia="zh-Hans"/>
                <w14:textFill>
                  <w14:solidFill>
                    <w14:schemeClr w14:val="tx1"/>
                  </w14:solidFill>
                </w14:textFill>
              </w:rPr>
              <w:t>。</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02" w:type="pct"/>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22（11分）</w:t>
            </w:r>
          </w:p>
        </w:tc>
        <w:tc>
          <w:tcPr>
            <w:tcW w:w="649" w:type="pct"/>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均分</w:t>
            </w:r>
            <w:r>
              <w:rPr>
                <w:rFonts w:hint="eastAsia" w:cs="Times New Roman"/>
                <w:color w:val="000000" w:themeColor="text1"/>
                <w:szCs w:val="21"/>
                <w:lang w:val="en-US" w:eastAsia="zh-CN"/>
                <w14:textFill>
                  <w14:solidFill>
                    <w14:schemeClr w14:val="tx1"/>
                  </w14:solidFill>
                </w14:textFill>
              </w:rPr>
              <w:t>6.78</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难度</w:t>
            </w:r>
            <w:r>
              <w:rPr>
                <w:rFonts w:hint="eastAsia" w:cs="Times New Roman"/>
                <w:color w:val="000000" w:themeColor="text1"/>
                <w:szCs w:val="21"/>
                <w:lang w:val="en-US" w:eastAsia="zh-CN"/>
                <w14:textFill>
                  <w14:solidFill>
                    <w14:schemeClr w14:val="tx1"/>
                  </w14:solidFill>
                </w14:textFill>
              </w:rPr>
              <w:t>0.62</w:t>
            </w:r>
          </w:p>
        </w:tc>
        <w:tc>
          <w:tcPr>
            <w:tcW w:w="3648" w:type="pct"/>
            <w:gridSpan w:val="2"/>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（1）       </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【参考答案】生产者和分解者  </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【典型错误】消费者和分解者  </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【错因分析】学生未看清题目表格下面的提示，“红假单胞光合菌体内含多种光合色素，在无光条件下可分解水体中的有机物”</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【参考答案】红假单胞光合菌</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【典型错误】蓝细菌</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【错因分析】学生未能仔细对表格中数据进行分析，污染的水体中毒素含量高、铵盐多、有机物多，放置红假单胞光合菌处理的水体中无毒素，且铵盐吸收率高，有机物去除率高。</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【参考答案】不产生毒素且对铵盐吸收率和有机物的去除率高</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【错因分析】学生答不全，三个中答两个的居多，对表格中给予的信息归纳不全面。</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【参考答案】间接、直接</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【典型错误】答一个的居多，只答“直接”或者“间接”</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【错因分析】对生物多样性的价值的理解还不够到位和全面。</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【参考答案】捕食</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 基本没错  少数写竞争</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 未认真看图</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 d/（b＋c）×100%</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【典型错误】d/（b＋c）</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【错因分析】对能量流动的计算掌握不正确</w:t>
            </w:r>
            <w:r>
              <w:rPr>
                <w:rFonts w:hint="eastAsia" w:cs="Times New Roman"/>
                <w:color w:val="000000" w:themeColor="text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【参考答案】黑鱼密度过大，抑制小型浮游动物生长，导致某些藻类大量繁殖</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【典型错误】黑鱼密度过大，种间竞争加剧；有的不写黑鱼密度大，只写浮游动物乙减少</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【错因分析】因果逻辑混乱，不能按因果关系答题</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（4）</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【参考答案】需氧微生物繁殖，分解水体中有机物</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【典型错误】促进动植物生长繁殖；不写需氧的原因，直接写有机物分解；也有的只写增加水中溶解氧</w:t>
            </w:r>
            <w:r>
              <w:rPr>
                <w:rFonts w:hint="eastAsia" w:cs="Times New Roman"/>
                <w:color w:val="000000" w:themeColor="text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【错因分析】对污水处理原理不了解</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【参考答案】有利于种群繁衍，调节生物种间关系，维持生态系统的相对稳定</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【典型错误】促进物种繁殖，促进生长发育，保护环境</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【错因分析】对信息传递的作用不熟悉</w:t>
            </w:r>
            <w:r>
              <w:rPr>
                <w:rFonts w:hint="eastAsia" w:cs="Times New Roman"/>
                <w:color w:val="000000" w:themeColor="text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02" w:type="pct"/>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2</w:t>
            </w:r>
            <w:r>
              <w:rPr>
                <w:rFonts w:hint="default" w:ascii="Times New Roman" w:hAnsi="Times New Roman" w:eastAsia="宋体" w:cs="Times New Roman"/>
                <w:color w:val="000000" w:themeColor="text1"/>
                <w:szCs w:val="21"/>
                <w:lang w:val="en-US" w:eastAsia="zh-CN"/>
                <w14:textFill>
                  <w14:solidFill>
                    <w14:schemeClr w14:val="tx1"/>
                  </w14:solidFill>
                </w14:textFill>
              </w:rPr>
              <w:t>3</w:t>
            </w:r>
            <w:r>
              <w:rPr>
                <w:rFonts w:hint="eastAsia" w:ascii="Times New Roman" w:hAnsi="Times New Roman" w:eastAsia="宋体" w:cs="Times New Roman"/>
                <w:color w:val="000000" w:themeColor="text1"/>
                <w:szCs w:val="21"/>
                <w:lang w:val="en-US" w:eastAsia="zh-CN"/>
                <w14:textFill>
                  <w14:solidFill>
                    <w14:schemeClr w14:val="tx1"/>
                  </w14:solidFill>
                </w14:textFill>
              </w:rPr>
              <w:t>（11分）</w:t>
            </w:r>
          </w:p>
        </w:tc>
        <w:tc>
          <w:tcPr>
            <w:tcW w:w="650" w:type="pct"/>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均分</w:t>
            </w:r>
            <w:r>
              <w:rPr>
                <w:rFonts w:hint="eastAsia" w:cs="Times New Roman"/>
                <w:color w:val="000000" w:themeColor="text1"/>
                <w:szCs w:val="21"/>
                <w:lang w:val="en-US" w:eastAsia="zh-CN"/>
                <w14:textFill>
                  <w14:solidFill>
                    <w14:schemeClr w14:val="tx1"/>
                  </w14:solidFill>
                </w14:textFill>
              </w:rPr>
              <w:t>6.15</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难度</w:t>
            </w:r>
            <w:r>
              <w:rPr>
                <w:rFonts w:hint="eastAsia" w:cs="Times New Roman"/>
                <w:color w:val="000000" w:themeColor="text1"/>
                <w:szCs w:val="21"/>
                <w:lang w:val="en-US" w:eastAsia="zh-CN"/>
                <w14:textFill>
                  <w14:solidFill>
                    <w14:schemeClr w14:val="tx1"/>
                  </w14:solidFill>
                </w14:textFill>
              </w:rPr>
              <w:t>0.56</w:t>
            </w:r>
          </w:p>
        </w:tc>
        <w:tc>
          <w:tcPr>
            <w:tcW w:w="3647" w:type="pct"/>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【参考答案】外负内正</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【典型错误】“外正内负”、“外正内负→外负内正”</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【错因分析】记忆错乱、审题不清</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【参考答案】神经末梢及其支配的屈肌和伸肌</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【典型错误】书写不规范，不写“末梢”、“屈肌和伸肌”写不全，多写了“腺体”</w:t>
            </w:r>
            <w:r>
              <w:rPr>
                <w:rFonts w:hint="eastAsia" w:cs="Times New Roman"/>
                <w:color w:val="000000" w:themeColor="text1"/>
                <w:szCs w:val="21"/>
                <w:lang w:val="en-US" w:eastAsia="zh-CN"/>
                <w14:textFill>
                  <w14:solidFill>
                    <w14:schemeClr w14:val="tx1"/>
                  </w14:solidFill>
                </w14:textFill>
              </w:rPr>
              <w:t>，</w:t>
            </w:r>
            <w:r>
              <w:rPr>
                <w:rFonts w:hint="eastAsia" w:ascii="Times New Roman" w:hAnsi="Times New Roman" w:eastAsia="宋体" w:cs="Times New Roman"/>
                <w:color w:val="000000" w:themeColor="text1"/>
                <w:szCs w:val="21"/>
                <w:lang w:val="en-US" w:eastAsia="zh-CN"/>
                <w14:textFill>
                  <w14:solidFill>
                    <w14:schemeClr w14:val="tx1"/>
                  </w14:solidFill>
                </w14:textFill>
              </w:rPr>
              <w:t>“神经末梢”错写成“神经末端”，错别字“稍”</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【错因分析】记忆不到位，不能从图形中获取有用信息</w:t>
            </w:r>
            <w:r>
              <w:rPr>
                <w:rFonts w:hint="eastAsia" w:cs="Times New Roman"/>
                <w:color w:val="000000" w:themeColor="text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【参考答案】单</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【典型错误】反、逆、双、定</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【错因分析】不能准确识图，记忆不到位</w:t>
            </w:r>
            <w:r>
              <w:rPr>
                <w:rFonts w:hint="eastAsia" w:cs="Times New Roman"/>
                <w:color w:val="000000" w:themeColor="text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【参考答案】抑制性</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【典型错误】抑制、抑制型、抑制类、兴奋性</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【错因分析】表述不规范，不能从题干中获取“伸肌舒展”这个信息</w:t>
            </w:r>
            <w:r>
              <w:rPr>
                <w:rFonts w:hint="eastAsia" w:cs="Times New Roman"/>
                <w:color w:val="000000" w:themeColor="text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【参考答案】变大</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【典型错误】增大、大、减小、变小</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【错因分析】前一空判断错误，不遵循题目要求</w:t>
            </w:r>
            <w:r>
              <w:rPr>
                <w:rFonts w:hint="eastAsia" w:cs="Times New Roman"/>
                <w:color w:val="000000" w:themeColor="text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【参考答案】促肾上腺皮质激素释放激素</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【典型错误】不能正确写出激素的名称，如错写成“促肾上腺激素释放激素、促肾上腺激素分泌激素、促肾上腺皮质释放激素、促糖皮质激素释放激素、促肾上腺皮质释放素”等</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【错因分析】“下丘脑——垂体——肾上腺皮质轴”轴的相关基础知识不过关</w:t>
            </w:r>
            <w:r>
              <w:rPr>
                <w:rFonts w:hint="eastAsia" w:cs="Times New Roman"/>
                <w:color w:val="000000" w:themeColor="text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【参考答案】促肾上腺皮质激素</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【典型错误】不能正确写出激素的名称，如“促肾上腺激素、促糖皮质激素、促肾上腺素”等</w:t>
            </w:r>
            <w:r>
              <w:rPr>
                <w:rFonts w:hint="eastAsia" w:cs="Times New Roman"/>
                <w:color w:val="000000" w:themeColor="text1"/>
                <w:szCs w:val="21"/>
                <w:lang w:val="en-US" w:eastAsia="zh-CN"/>
                <w14:textFill>
                  <w14:solidFill>
                    <w14:schemeClr w14:val="tx1"/>
                  </w14:solidFill>
                </w14:textFill>
              </w:rPr>
              <w:t>，</w:t>
            </w:r>
            <w:r>
              <w:rPr>
                <w:rFonts w:hint="eastAsia" w:ascii="Times New Roman" w:hAnsi="Times New Roman" w:eastAsia="宋体" w:cs="Times New Roman"/>
                <w:color w:val="000000" w:themeColor="text1"/>
                <w:szCs w:val="21"/>
                <w:lang w:val="en-US" w:eastAsia="zh-CN"/>
                <w14:textFill>
                  <w14:solidFill>
                    <w14:schemeClr w14:val="tx1"/>
                  </w14:solidFill>
                </w14:textFill>
              </w:rPr>
              <w:t>这两空还有乱写成“胰岛素、胰高血糖素和抗利尿激素”等</w:t>
            </w:r>
            <w:r>
              <w:rPr>
                <w:rFonts w:hint="eastAsia" w:cs="Times New Roman"/>
                <w:color w:val="000000" w:themeColor="text1"/>
                <w:szCs w:val="21"/>
                <w:lang w:val="en-US" w:eastAsia="zh-CN"/>
                <w14:textFill>
                  <w14:solidFill>
                    <w14:schemeClr w14:val="tx1"/>
                  </w14:solidFill>
                </w14:textFill>
              </w:rPr>
              <w:t>。</w:t>
            </w:r>
            <w:r>
              <w:rPr>
                <w:rFonts w:hint="eastAsia" w:ascii="Times New Roman" w:hAnsi="Times New Roman" w:eastAsia="宋体" w:cs="Times New Roman"/>
                <w:color w:val="000000" w:themeColor="text1"/>
                <w:szCs w:val="21"/>
                <w:lang w:val="en-US" w:eastAsia="zh-CN"/>
                <w14:textFill>
                  <w14:solidFill>
                    <w14:schemeClr w14:val="tx1"/>
                  </w14:solidFill>
                </w14:textFill>
              </w:rPr>
              <w:t>此外还有错别字，“激素”错写成“基素”。</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【错因分析】“下丘脑——垂体——肾上腺皮质轴”轴的相关基础知识不过关</w:t>
            </w:r>
            <w:r>
              <w:rPr>
                <w:rFonts w:hint="eastAsia" w:cs="Times New Roman"/>
                <w:color w:val="000000" w:themeColor="text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（4）</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【参考答案】AB</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【典型错误】ABC、 BC，C；把字母答成数字；</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【参考答案】多突触反射需要经过较多的突触延搁</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【典型错误】反射弧较长；仅答出“突触中存在电信号与化学信号之间的转化”；通过突触传递兴奋比神经传递慢；</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（5）</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【参考答案】速度快，信号传递方式为电信号→电信号，传递方向是双向的</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【典型错误】效率高；反应迅速；反应灵敏；传播快；突触间隙小；单向传递，特异性强；更快引起动作电位，更快使下一个突触兴奋；不消耗物质与能量；通过郎飞节传递信号。</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【教学建议】</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1.加强平时教学生物专业名词书写规范化，杜绝错别字</w:t>
            </w:r>
            <w:r>
              <w:rPr>
                <w:rFonts w:hint="eastAsia" w:cs="Times New Roman"/>
                <w:color w:val="000000" w:themeColor="text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2.加强基础知识的理解记忆，夯实基础</w:t>
            </w:r>
            <w:r>
              <w:rPr>
                <w:rFonts w:hint="eastAsia" w:cs="Times New Roman"/>
                <w:color w:val="000000" w:themeColor="text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3.加强审题能力的培养，在平时训练中，注重培养学生结合材料和图示信息，提炼答案的能力</w:t>
            </w:r>
            <w:r>
              <w:rPr>
                <w:rFonts w:hint="eastAsia" w:cs="Times New Roman"/>
                <w:color w:val="000000" w:themeColor="text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02" w:type="pct"/>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24（12分）</w:t>
            </w:r>
          </w:p>
        </w:tc>
        <w:tc>
          <w:tcPr>
            <w:tcW w:w="650" w:type="pct"/>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均分</w:t>
            </w:r>
            <w:r>
              <w:rPr>
                <w:rFonts w:hint="eastAsia" w:cs="Times New Roman"/>
                <w:color w:val="000000" w:themeColor="text1"/>
                <w:szCs w:val="21"/>
                <w:lang w:val="en-US" w:eastAsia="zh-CN"/>
                <w14:textFill>
                  <w14:solidFill>
                    <w14:schemeClr w14:val="tx1"/>
                  </w14:solidFill>
                </w14:textFill>
              </w:rPr>
              <w:t>5.29</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难度</w:t>
            </w:r>
            <w:r>
              <w:rPr>
                <w:rFonts w:hint="eastAsia" w:cs="Times New Roman"/>
                <w:color w:val="000000" w:themeColor="text1"/>
                <w:szCs w:val="21"/>
                <w:lang w:val="en-US" w:eastAsia="zh-CN"/>
                <w14:textFill>
                  <w14:solidFill>
                    <w14:schemeClr w14:val="tx1"/>
                  </w14:solidFill>
                </w14:textFill>
              </w:rPr>
              <w:t>0.44</w:t>
            </w:r>
          </w:p>
        </w:tc>
        <w:tc>
          <w:tcPr>
            <w:tcW w:w="3647" w:type="pct"/>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【参考答案】XhoⅠ</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【典型错误】“NotⅠ”，有不规范写法，X未大写，罗马数字1未写，还有部分多写酶</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【错因分析】未理解题意，读图不仔细</w:t>
            </w:r>
            <w:r>
              <w:rPr>
                <w:rFonts w:hint="eastAsia" w:cs="Times New Roman"/>
                <w:color w:val="000000" w:themeColor="text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【参考答案】RNA聚合酶</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【典型错误】“DNA聚合酶”“mRNA”“RNA转录酶”“启动子”“逆转录酶”</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【错因分析】书写不认真，DNA与RNA辨认不清晰；概念理解错误，记忆混乱</w:t>
            </w:r>
            <w:r>
              <w:rPr>
                <w:rFonts w:hint="eastAsia" w:cs="Times New Roman"/>
                <w:color w:val="000000" w:themeColor="text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【参考答案】SalⅠ和NotⅠ</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【典型错误】“SalⅠ”“NotⅠ”“NotⅠ和XhoⅠ”“限制酶”等</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【错因分析】不能准确识图，书写不规范</w:t>
            </w:r>
            <w:r>
              <w:rPr>
                <w:rFonts w:hint="eastAsia" w:cs="Times New Roman"/>
                <w:color w:val="000000" w:themeColor="text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【参考答案】CMV和rhPA基因的部分脱氧核苷酸序列</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【典型错误】“目的基因的脱氧核苷酸序列”、只写“rhPA基因”的碱基序列等</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【错因分析】不能准确识图，审题不清，部分答案写成“561kb”</w:t>
            </w:r>
            <w:r>
              <w:rPr>
                <w:rFonts w:hint="eastAsia" w:cs="Times New Roman"/>
                <w:color w:val="000000" w:themeColor="text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【参考答案】2、3、5、6</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【典型错误】“2、3、5、6、7”“1、4”“②③⑤⑥”等</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【错因分析】审题不清，没看到题干的7号为阳性对照，错误答案主要写了7号；少量学生数字带圈</w:t>
            </w:r>
            <w:r>
              <w:rPr>
                <w:rFonts w:hint="eastAsia" w:cs="Times New Roman"/>
                <w:color w:val="000000" w:themeColor="text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（4）</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【参考答案】超数排卵</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【典型错误】“超速排卵”、“促性腺激素处理”、空白</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【错因分析】记忆错乱、审题不清</w:t>
            </w:r>
            <w:r>
              <w:rPr>
                <w:rFonts w:hint="eastAsia" w:cs="Times New Roman"/>
                <w:color w:val="000000" w:themeColor="text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【参考答案】输卵管</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【典型错误】“子宫”</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【错因分析】记忆不到位，受精卵形成场所</w:t>
            </w:r>
            <w:r>
              <w:rPr>
                <w:rFonts w:hint="eastAsia" w:cs="Times New Roman"/>
                <w:color w:val="000000" w:themeColor="text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【参考答案】2</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【典型错误】空白、4</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【错因分析】审题不仔细，几对看成了几个</w:t>
            </w:r>
            <w:r>
              <w:rPr>
                <w:rFonts w:hint="eastAsia" w:cs="Times New Roman"/>
                <w:color w:val="000000" w:themeColor="text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【参考答案】rhPA单转基因兔和rhPA/GH双转基因兔</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【典型错误】“单转基因兔”、“双转基因兔”、“供体兔”“双转基因兔和转基因兔”</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【错因分析】实验结果如何检测分析不清楚，表述不规范</w:t>
            </w:r>
            <w:r>
              <w:rPr>
                <w:rFonts w:hint="eastAsia" w:cs="Times New Roman"/>
                <w:color w:val="000000" w:themeColor="text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【参考答案】rhPA/GH双转基因兔明显高于rhPA 单转基因兔，GH可协同促进rhPA 在转基因兔乳腺中的高效表达</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【典型错误】双转基因兔rhPA高、GH促进乳腺生长发育效果好、双转基因兔体内rhPA表达水平高于供体兔、在乳清细胞中表达等</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【错因分析】分析表格，从题目中凝练实验目的，归纳实验结果，语言阐述能力欠缺。</w:t>
            </w:r>
            <w:bookmarkStart w:id="1" w:name="_GoBack"/>
            <w:bookmarkEnd w:id="1"/>
          </w:p>
        </w:tc>
      </w:tr>
    </w:tbl>
    <w:p>
      <w:pPr>
        <w:rPr>
          <w:rFonts w:hint="eastAsia" w:eastAsia="黑体"/>
          <w:b/>
          <w:bCs w:val="0"/>
          <w:color w:val="000000" w:themeColor="text1"/>
          <w:sz w:val="24"/>
          <w14:textFill>
            <w14:solidFill>
              <w14:schemeClr w14:val="tx1"/>
            </w14:solidFill>
          </w14:textFill>
        </w:rPr>
      </w:pPr>
      <w:r>
        <w:rPr>
          <w:rFonts w:hint="eastAsia" w:eastAsia="黑体"/>
          <w:b/>
          <w:bCs w:val="0"/>
          <w:color w:val="000000" w:themeColor="text1"/>
          <w:sz w:val="24"/>
          <w14:textFill>
            <w14:solidFill>
              <w14:schemeClr w14:val="tx1"/>
            </w14:solidFill>
          </w14:textFill>
        </w:rPr>
        <w:t>五、复习建议</w:t>
      </w:r>
    </w:p>
    <w:p>
      <w:pPr>
        <w:pStyle w:val="2"/>
        <w:keepNext w:val="0"/>
        <w:keepLines w:val="0"/>
        <w:pageBreakBefore w:val="0"/>
        <w:kinsoku/>
        <w:wordWrap/>
        <w:overflowPunct/>
        <w:topLinePunct w:val="0"/>
        <w:autoSpaceDE/>
        <w:autoSpaceDN/>
        <w:bidi w:val="0"/>
        <w:adjustRightInd w:val="0"/>
        <w:snapToGrid w:val="0"/>
        <w:spacing w:after="0"/>
        <w:ind w:firstLine="422" w:firstLineChars="200"/>
        <w:textAlignment w:val="auto"/>
        <w:rPr>
          <w:rFonts w:hint="default"/>
          <w:b/>
          <w:bCs w:val="0"/>
          <w:color w:val="000000" w:themeColor="text1"/>
          <w:highlight w:val="none"/>
          <w:lang w:val="en-US" w:eastAsia="zh-CN"/>
          <w14:textFill>
            <w14:solidFill>
              <w14:schemeClr w14:val="tx1"/>
            </w14:solidFill>
          </w14:textFill>
        </w:rPr>
      </w:pPr>
      <w:r>
        <w:rPr>
          <w:rFonts w:hint="eastAsia"/>
          <w:b/>
          <w:bCs w:val="0"/>
          <w:color w:val="000000" w:themeColor="text1"/>
          <w:highlight w:val="none"/>
          <w:lang w:val="en-US" w:eastAsia="zh-CN"/>
          <w14:textFill>
            <w14:solidFill>
              <w14:schemeClr w14:val="tx1"/>
            </w14:solidFill>
          </w14:textFill>
        </w:rPr>
        <w:t>1.分析大数据，查漏补缺，分层指导</w:t>
      </w:r>
    </w:p>
    <w:p>
      <w:pPr>
        <w:pStyle w:val="2"/>
        <w:keepNext w:val="0"/>
        <w:keepLines w:val="0"/>
        <w:pageBreakBefore w:val="0"/>
        <w:kinsoku/>
        <w:wordWrap/>
        <w:overflowPunct/>
        <w:topLinePunct w:val="0"/>
        <w:autoSpaceDE/>
        <w:autoSpaceDN/>
        <w:bidi w:val="0"/>
        <w:adjustRightInd w:val="0"/>
        <w:snapToGrid w:val="0"/>
        <w:spacing w:after="0"/>
        <w:ind w:firstLine="420" w:firstLineChars="200"/>
        <w:textAlignment w:val="auto"/>
        <w:rPr>
          <w:rFonts w:hint="eastAsia"/>
          <w:b w:val="0"/>
          <w:bCs/>
          <w:color w:val="000000" w:themeColor="text1"/>
          <w:highlight w:val="none"/>
          <w:lang w:val="en-US" w:eastAsia="zh-CN"/>
          <w14:textFill>
            <w14:solidFill>
              <w14:schemeClr w14:val="tx1"/>
            </w14:solidFill>
          </w14:textFill>
        </w:rPr>
      </w:pPr>
      <w:r>
        <w:rPr>
          <w:rFonts w:hint="eastAsia"/>
          <w:b w:val="0"/>
          <w:bCs/>
          <w:color w:val="000000" w:themeColor="text1"/>
          <w:highlight w:val="none"/>
          <w:lang w:val="en-US" w:eastAsia="zh-CN"/>
          <w14:textFill>
            <w14:solidFill>
              <w14:schemeClr w14:val="tx1"/>
            </w14:solidFill>
          </w14:textFill>
        </w:rPr>
        <w:t>一模是对学生前一阶段学习情况的摸底，是对教学质量的全面评估。充分利用一模诊断的数据，做好全卷得分数据的统计，如每题的得分率？选择题每个选项的得分率？非选择题每个空的得分率？失分的人群及失分的原因？与学校（班级）对应层次的联合体小题均分、同层次学校（班级）小题均分对比分析哪些题目存在明显偏差？找准学校（班级）明显存在薄弱的知识内容，做好归因分析，为下阶段精准复习提供依据。</w:t>
      </w:r>
    </w:p>
    <w:p>
      <w:pPr>
        <w:pStyle w:val="2"/>
        <w:keepNext w:val="0"/>
        <w:keepLines w:val="0"/>
        <w:pageBreakBefore w:val="0"/>
        <w:kinsoku/>
        <w:wordWrap/>
        <w:overflowPunct/>
        <w:topLinePunct w:val="0"/>
        <w:autoSpaceDE/>
        <w:autoSpaceDN/>
        <w:bidi w:val="0"/>
        <w:adjustRightInd w:val="0"/>
        <w:snapToGrid w:val="0"/>
        <w:spacing w:after="0"/>
        <w:ind w:firstLine="420" w:firstLineChars="200"/>
        <w:textAlignment w:val="auto"/>
        <w:rPr>
          <w:rFonts w:hint="default"/>
          <w:b w:val="0"/>
          <w:bCs/>
          <w:color w:val="000000" w:themeColor="text1"/>
          <w:highlight w:val="none"/>
          <w:lang w:val="en-US" w:eastAsia="zh-CN"/>
          <w14:textFill>
            <w14:solidFill>
              <w14:schemeClr w14:val="tx1"/>
            </w14:solidFill>
          </w14:textFill>
        </w:rPr>
      </w:pPr>
      <w:r>
        <w:rPr>
          <w:rFonts w:hint="eastAsia"/>
          <w:b w:val="0"/>
          <w:bCs/>
          <w:color w:val="000000" w:themeColor="text1"/>
          <w:highlight w:val="none"/>
          <w:lang w:val="en-US" w:eastAsia="zh-CN"/>
          <w14:textFill>
            <w14:solidFill>
              <w14:schemeClr w14:val="tx1"/>
            </w14:solidFill>
          </w14:textFill>
        </w:rPr>
        <w:t>以相关数据为依托，各校可根据暴露出的问题列出清单，调整复习计划，适当安排课时，落实前阶段教学内容的补偿性教学，针对性地有效施策，查漏补缺。教师要根据数据分析情况，做好个性化的辅导工作，对不同学业发展层次的学生进行分层侧重的导学策略，给予学生适切的学习方法和策略引导，引导学生根据自己的情况作出相对应的个人学习规划，学优生要稳定心态，后进生要坚定信心。赋分暂时不够理想的同学可通过选择题限时训练、判断题辨析、必备知识的理解与记忆等形式夯实基础，赋分较高的同学通过自主整理建构、重点题型集中项目化训练等形式提升信息识别与加工、逻辑推理与论证、科学探究与思维建模、语言组织与表达、独立思考与质疑（提出问题、开放作答、合理论证）等关键能力。</w:t>
      </w:r>
    </w:p>
    <w:p>
      <w:pPr>
        <w:pStyle w:val="2"/>
        <w:keepNext w:val="0"/>
        <w:keepLines w:val="0"/>
        <w:pageBreakBefore w:val="0"/>
        <w:kinsoku/>
        <w:wordWrap/>
        <w:overflowPunct/>
        <w:topLinePunct w:val="0"/>
        <w:autoSpaceDE/>
        <w:autoSpaceDN/>
        <w:bidi w:val="0"/>
        <w:adjustRightInd w:val="0"/>
        <w:snapToGrid w:val="0"/>
        <w:spacing w:after="0"/>
        <w:ind w:firstLine="422" w:firstLineChars="200"/>
        <w:textAlignment w:val="auto"/>
        <w:rPr>
          <w:rFonts w:hint="default"/>
          <w:b/>
          <w:bCs w:val="0"/>
          <w:color w:val="000000" w:themeColor="text1"/>
          <w:highlight w:val="none"/>
          <w:lang w:val="en-US" w:eastAsia="zh-CN"/>
          <w14:textFill>
            <w14:solidFill>
              <w14:schemeClr w14:val="tx1"/>
            </w14:solidFill>
          </w14:textFill>
        </w:rPr>
      </w:pPr>
      <w:r>
        <w:rPr>
          <w:rFonts w:hint="eastAsia"/>
          <w:b/>
          <w:bCs w:val="0"/>
          <w:color w:val="000000" w:themeColor="text1"/>
          <w:highlight w:val="none"/>
          <w:lang w:val="en-US" w:eastAsia="zh-CN"/>
          <w14:textFill>
            <w14:solidFill>
              <w14:schemeClr w14:val="tx1"/>
            </w14:solidFill>
          </w14:textFill>
        </w:rPr>
        <w:t>2.精选微专题，悟彻激活，融会贯通</w:t>
      </w:r>
    </w:p>
    <w:p>
      <w:pPr>
        <w:pStyle w:val="2"/>
        <w:keepNext w:val="0"/>
        <w:keepLines w:val="0"/>
        <w:pageBreakBefore w:val="0"/>
        <w:kinsoku/>
        <w:wordWrap/>
        <w:overflowPunct/>
        <w:topLinePunct w:val="0"/>
        <w:autoSpaceDE/>
        <w:autoSpaceDN/>
        <w:bidi w:val="0"/>
        <w:adjustRightInd w:val="0"/>
        <w:snapToGrid w:val="0"/>
        <w:spacing w:after="0"/>
        <w:ind w:firstLine="420" w:firstLineChars="200"/>
        <w:textAlignment w:val="auto"/>
        <w:rPr>
          <w:rFonts w:hint="eastAsia"/>
          <w:b w:val="0"/>
          <w:bCs/>
          <w:color w:val="000000" w:themeColor="text1"/>
          <w:highlight w:val="none"/>
          <w:lang w:val="en-US" w:eastAsia="zh-CN"/>
          <w14:textFill>
            <w14:solidFill>
              <w14:schemeClr w14:val="tx1"/>
            </w14:solidFill>
          </w14:textFill>
        </w:rPr>
      </w:pPr>
      <w:r>
        <w:rPr>
          <w:rFonts w:hint="eastAsia"/>
          <w:b w:val="0"/>
          <w:bCs/>
          <w:color w:val="000000" w:themeColor="text1"/>
          <w:highlight w:val="none"/>
          <w:lang w:val="en-US" w:eastAsia="zh-CN"/>
          <w14:textFill>
            <w14:solidFill>
              <w14:schemeClr w14:val="tx1"/>
            </w14:solidFill>
          </w14:textFill>
        </w:rPr>
        <w:t>一模后复习时间紧，内容多，“因时而宜”制定并执行高效复习的“规划”尤其重要，否则就会“眉毛胡子一把抓”，乱了方寸。二轮复习要避免面面俱到，有所为有所不为，要根据高考高频考点和学生易错点，聚焦重点。不少学校惯常做法是按照选用的二轮复习教辅书的专题来进行传授和训练，但教辅书的编排不一定适合每一所学校，选取的内容、习题也有一定的滞后性，建议各校根据校情学情，大胆取舍，重新组合、高度综合、凝练浓缩，确定“精华”专题内容，将碎片化的知识结构化、体系化，将其通过有关的枢纽连接起来，变成一个“魔方”，这样就可以千变万化，融会贯通来应对新高考的变化。</w:t>
      </w:r>
    </w:p>
    <w:p>
      <w:pPr>
        <w:pStyle w:val="2"/>
        <w:keepNext w:val="0"/>
        <w:keepLines w:val="0"/>
        <w:pageBreakBefore w:val="0"/>
        <w:kinsoku/>
        <w:wordWrap/>
        <w:overflowPunct/>
        <w:topLinePunct w:val="0"/>
        <w:autoSpaceDE/>
        <w:autoSpaceDN/>
        <w:bidi w:val="0"/>
        <w:adjustRightInd w:val="0"/>
        <w:snapToGrid w:val="0"/>
        <w:spacing w:after="0"/>
        <w:ind w:firstLine="420" w:firstLineChars="200"/>
        <w:textAlignment w:val="auto"/>
        <w:rPr>
          <w:rFonts w:hint="eastAsia"/>
          <w:b w:val="0"/>
          <w:bCs/>
          <w:color w:val="000000" w:themeColor="text1"/>
          <w:highlight w:val="none"/>
          <w:lang w:val="en-US" w:eastAsia="zh-CN"/>
          <w14:textFill>
            <w14:solidFill>
              <w14:schemeClr w14:val="tx1"/>
            </w14:solidFill>
          </w14:textFill>
        </w:rPr>
      </w:pPr>
      <w:r>
        <w:rPr>
          <w:rFonts w:hint="eastAsia"/>
          <w:b w:val="0"/>
          <w:bCs/>
          <w:color w:val="000000" w:themeColor="text1"/>
          <w:highlight w:val="none"/>
          <w:lang w:val="en-US" w:eastAsia="zh-CN"/>
          <w14:textFill>
            <w14:solidFill>
              <w14:schemeClr w14:val="tx1"/>
            </w14:solidFill>
          </w14:textFill>
        </w:rPr>
        <w:t>专题复习的同时，编制适合本校学生的校本微专题进行复习会效果更好。微专题复习，是以某个“点”（知识点、能力点、素养点）为中心，整合相关的生物学概念、原理、规律、模型，内化知识，构建结构，进行知识迁移、整合，并能运用基本概念和原理解决实际问题的一种“小切口”的复习方法，主题明确，形式多样，角度新颖，问题集中，操作灵活，指向性强。微专题主题的选择可以从不同角度选择，如从某一学科核心素养具体内涵的培育角度，从高中教材所涉及的模式生物角度，从提升学生解决问题的能力角度，从解决学生复习的“困难点”角度，从激发学生主动复习的兴趣和动力角度，从高考命题热点角度选取。微专题的作用并不是对传统专题的否定，而是针对专题复习中暴露问题的及时弥补，是对专题复习内容的有力补充和对高考重点、热点问题的及时强化。微专题复习法不失为一种突出学生能力培养，注重学生对知识的分析、综合和运用的好方法。同时对教师也提出了更高的的要求，促进教师自身不断探索高考复习的高效模式，积极寻找提高学生能力的突破口，真正做到教学相长。</w:t>
      </w:r>
    </w:p>
    <w:p>
      <w:pPr>
        <w:pStyle w:val="2"/>
        <w:keepNext w:val="0"/>
        <w:keepLines w:val="0"/>
        <w:pageBreakBefore w:val="0"/>
        <w:kinsoku/>
        <w:wordWrap/>
        <w:overflowPunct/>
        <w:topLinePunct w:val="0"/>
        <w:autoSpaceDE/>
        <w:autoSpaceDN/>
        <w:bidi w:val="0"/>
        <w:adjustRightInd w:val="0"/>
        <w:snapToGrid w:val="0"/>
        <w:spacing w:after="0"/>
        <w:ind w:firstLine="422" w:firstLineChars="200"/>
        <w:textAlignment w:val="auto"/>
        <w:rPr>
          <w:rFonts w:hint="eastAsia"/>
          <w:b/>
          <w:bCs w:val="0"/>
          <w:color w:val="000000" w:themeColor="text1"/>
          <w:highlight w:val="none"/>
          <w:lang w:val="en-US" w:eastAsia="zh-CN"/>
          <w14:textFill>
            <w14:solidFill>
              <w14:schemeClr w14:val="tx1"/>
            </w14:solidFill>
          </w14:textFill>
        </w:rPr>
      </w:pPr>
      <w:r>
        <w:rPr>
          <w:rFonts w:hint="eastAsia"/>
          <w:b/>
          <w:bCs w:val="0"/>
          <w:color w:val="000000" w:themeColor="text1"/>
          <w:highlight w:val="none"/>
          <w:lang w:val="en-US" w:eastAsia="zh-CN"/>
          <w14:textFill>
            <w14:solidFill>
              <w14:schemeClr w14:val="tx1"/>
            </w14:solidFill>
          </w14:textFill>
        </w:rPr>
        <w:t>3.关注新情境，深度思考，解决问题</w:t>
      </w:r>
    </w:p>
    <w:p>
      <w:pPr>
        <w:pStyle w:val="2"/>
        <w:keepNext w:val="0"/>
        <w:keepLines w:val="0"/>
        <w:pageBreakBefore w:val="0"/>
        <w:kinsoku/>
        <w:wordWrap/>
        <w:overflowPunct/>
        <w:topLinePunct w:val="0"/>
        <w:autoSpaceDE/>
        <w:autoSpaceDN/>
        <w:bidi w:val="0"/>
        <w:adjustRightInd w:val="0"/>
        <w:snapToGrid w:val="0"/>
        <w:spacing w:after="0"/>
        <w:ind w:firstLine="420" w:firstLineChars="200"/>
        <w:textAlignment w:val="auto"/>
        <w:rPr>
          <w:rFonts w:hint="eastAsia"/>
          <w:b w:val="0"/>
          <w:bCs/>
          <w:color w:val="000000" w:themeColor="text1"/>
          <w:highlight w:val="none"/>
          <w:lang w:val="en-US" w:eastAsia="zh-CN"/>
          <w14:textFill>
            <w14:solidFill>
              <w14:schemeClr w14:val="tx1"/>
            </w14:solidFill>
          </w14:textFill>
        </w:rPr>
      </w:pPr>
      <w:r>
        <w:rPr>
          <w:rFonts w:hint="eastAsia"/>
          <w:b w:val="0"/>
          <w:bCs/>
          <w:color w:val="000000" w:themeColor="text1"/>
          <w:highlight w:val="none"/>
          <w:lang w:val="en-US" w:eastAsia="zh-CN"/>
          <w14:textFill>
            <w14:solidFill>
              <w14:schemeClr w14:val="tx1"/>
            </w14:solidFill>
          </w14:textFill>
        </w:rPr>
        <w:t>高考评价体系中的“四层”考查内容和“四翼”考查要求，是通过情境与情境活动两类载体来实现的。在中国高考评价体系指引下，生物试卷命题更加注重真实情境，强调应用性和创新性，对学生的能力素养要求更高。在课堂中蕴含真实问题境脉的学习情境是激活学生经验，引发学生思考，促进学生认知，激发学生问题解决及学以致用的关键。所以在复习备考时，教师不仅要指导学生熟读教材，还要把教学与生活联系在一起，及时拓展、更新资源，引导学生关注生产生活实际，引导学生运用学科知识思考现实和解决生活问题，改变以往死记硬背的学习方式，养成主动积累、接触丰富生活的习惯，培养在生活场景中发现问题、解决问题的能力。</w:t>
      </w:r>
    </w:p>
    <w:p>
      <w:pPr>
        <w:pStyle w:val="2"/>
        <w:keepNext w:val="0"/>
        <w:keepLines w:val="0"/>
        <w:pageBreakBefore w:val="0"/>
        <w:kinsoku/>
        <w:wordWrap/>
        <w:overflowPunct/>
        <w:topLinePunct w:val="0"/>
        <w:autoSpaceDE/>
        <w:autoSpaceDN/>
        <w:bidi w:val="0"/>
        <w:adjustRightInd w:val="0"/>
        <w:snapToGrid w:val="0"/>
        <w:spacing w:after="0"/>
        <w:ind w:firstLine="420" w:firstLineChars="200"/>
        <w:textAlignment w:val="auto"/>
        <w:rPr>
          <w:rFonts w:hint="eastAsia"/>
          <w:b w:val="0"/>
          <w:bCs/>
          <w:color w:val="000000" w:themeColor="text1"/>
          <w:highlight w:val="none"/>
          <w:lang w:val="en-US" w:eastAsia="zh-CN"/>
          <w14:textFill>
            <w14:solidFill>
              <w14:schemeClr w14:val="tx1"/>
            </w14:solidFill>
          </w14:textFill>
        </w:rPr>
      </w:pPr>
      <w:r>
        <w:rPr>
          <w:rFonts w:hint="eastAsia"/>
          <w:b w:val="0"/>
          <w:bCs/>
          <w:color w:val="000000" w:themeColor="text1"/>
          <w:highlight w:val="none"/>
          <w:lang w:val="en-US" w:eastAsia="zh-CN"/>
          <w14:textFill>
            <w14:solidFill>
              <w14:schemeClr w14:val="tx1"/>
            </w14:solidFill>
          </w14:textFill>
        </w:rPr>
        <w:t>同时，生命科学发展中的相关重大热点问题一直是近几年来高考命题素材的热点，如RNA干扰现象、基因敲除技术、端粒和端粒酶保护染色体的机理、细胞自噬现象、免疫负调控抑制癌症、PCR基因测序在病毒预防检测中的应用、植物多倍体的减数分裂等等，教师可通过网络、文献搜集整理，从中遴选素材，与教学内容建立内在的联系，在真实的问题情境中设置一些探究性或开放性的学习任务，引导学生发散性思考，主动开展分析、综合、评价等深度思维活动，让学生在不同情境下综合利用所学知识和技能处理复杂的任务。</w:t>
      </w:r>
    </w:p>
    <w:p>
      <w:pPr>
        <w:pStyle w:val="2"/>
        <w:keepNext w:val="0"/>
        <w:keepLines w:val="0"/>
        <w:pageBreakBefore w:val="0"/>
        <w:kinsoku/>
        <w:wordWrap/>
        <w:overflowPunct/>
        <w:topLinePunct w:val="0"/>
        <w:autoSpaceDE/>
        <w:autoSpaceDN/>
        <w:bidi w:val="0"/>
        <w:adjustRightInd w:val="0"/>
        <w:snapToGrid w:val="0"/>
        <w:spacing w:after="0"/>
        <w:ind w:firstLine="422" w:firstLineChars="200"/>
        <w:textAlignment w:val="auto"/>
        <w:rPr>
          <w:rFonts w:hint="eastAsia"/>
          <w:b/>
          <w:bCs w:val="0"/>
          <w:color w:val="000000" w:themeColor="text1"/>
          <w:highlight w:val="none"/>
          <w:lang w:val="en-US" w:eastAsia="zh-CN"/>
          <w14:textFill>
            <w14:solidFill>
              <w14:schemeClr w14:val="tx1"/>
            </w14:solidFill>
          </w14:textFill>
        </w:rPr>
      </w:pPr>
      <w:r>
        <w:rPr>
          <w:rFonts w:hint="eastAsia"/>
          <w:b/>
          <w:bCs w:val="0"/>
          <w:color w:val="000000" w:themeColor="text1"/>
          <w:highlight w:val="none"/>
          <w:lang w:val="en-US" w:eastAsia="zh-CN"/>
          <w14:textFill>
            <w14:solidFill>
              <w14:schemeClr w14:val="tx1"/>
            </w14:solidFill>
          </w14:textFill>
        </w:rPr>
        <w:t>4.研究新考向，仿真演练，规范表达</w:t>
      </w:r>
    </w:p>
    <w:p>
      <w:pPr>
        <w:pStyle w:val="2"/>
        <w:keepNext w:val="0"/>
        <w:keepLines w:val="0"/>
        <w:pageBreakBefore w:val="0"/>
        <w:kinsoku/>
        <w:wordWrap/>
        <w:overflowPunct/>
        <w:topLinePunct w:val="0"/>
        <w:autoSpaceDE/>
        <w:autoSpaceDN/>
        <w:bidi w:val="0"/>
        <w:adjustRightInd w:val="0"/>
        <w:snapToGrid w:val="0"/>
        <w:spacing w:after="0"/>
        <w:ind w:firstLine="420" w:firstLineChars="200"/>
        <w:textAlignment w:val="auto"/>
        <w:rPr>
          <w:rFonts w:hint="eastAsia"/>
          <w:b w:val="0"/>
          <w:bCs/>
          <w:color w:val="000000" w:themeColor="text1"/>
          <w:highlight w:val="none"/>
          <w:lang w:val="en-US" w:eastAsia="zh-CN"/>
          <w14:textFill>
            <w14:solidFill>
              <w14:schemeClr w14:val="tx1"/>
            </w14:solidFill>
          </w14:textFill>
        </w:rPr>
      </w:pPr>
      <w:r>
        <w:rPr>
          <w:rFonts w:hint="eastAsia"/>
          <w:b w:val="0"/>
          <w:bCs/>
          <w:color w:val="000000" w:themeColor="text1"/>
          <w:highlight w:val="none"/>
          <w:lang w:val="en-US" w:eastAsia="zh-CN"/>
          <w14:textFill>
            <w14:solidFill>
              <w14:schemeClr w14:val="tx1"/>
            </w14:solidFill>
          </w14:textFill>
        </w:rPr>
        <w:t>高考命题严格依据高中课程标准，确保“内容不超范围，深度不超要求”。考查内容限定在课程标准范围之内，既注重考查内容的全面性，又突出主干和重点内容的考查；考查要求依据学业质量标准，深度不超过其规定的层次。校本教研时，各校要组织老师们认真学习研讨《教育部关于做好2023年普通高校招生工作的通知》、《中国高考评价体系》、《中国高考评价体系说明》、《基于高考评价体系的生物科考试内容改革实施路径》《普通高中生物学课程标准（2017版2020修订）》等文件（文献），明确“为什么考”、“考什么”、“怎么考”，厘清生物学科4类学科素养、4种关键能力、3类试题情境的具体内涵，体会新高考由传统的“知识立意”、“能力立意”评价向“价值引领、素养导向、能力为重、知识为基”综合评价的转变，找准新高考备考复习的方向。</w:t>
      </w:r>
    </w:p>
    <w:p>
      <w:pPr>
        <w:pStyle w:val="2"/>
        <w:keepNext w:val="0"/>
        <w:keepLines w:val="0"/>
        <w:pageBreakBefore w:val="0"/>
        <w:kinsoku/>
        <w:wordWrap/>
        <w:overflowPunct/>
        <w:topLinePunct w:val="0"/>
        <w:autoSpaceDE/>
        <w:autoSpaceDN/>
        <w:bidi w:val="0"/>
        <w:adjustRightInd w:val="0"/>
        <w:snapToGrid w:val="0"/>
        <w:spacing w:after="0"/>
        <w:ind w:firstLine="420" w:firstLineChars="200"/>
        <w:textAlignment w:val="auto"/>
        <w:rPr>
          <w:rFonts w:hint="default"/>
          <w:b w:val="0"/>
          <w:bCs/>
          <w:color w:val="000000" w:themeColor="text1"/>
          <w:highlight w:val="none"/>
          <w:lang w:val="en-US" w:eastAsia="zh-CN"/>
          <w14:textFill>
            <w14:solidFill>
              <w14:schemeClr w14:val="tx1"/>
            </w14:solidFill>
          </w14:textFill>
        </w:rPr>
      </w:pPr>
      <w:r>
        <w:rPr>
          <w:rFonts w:hint="eastAsia"/>
          <w:b w:val="0"/>
          <w:bCs/>
          <w:color w:val="000000" w:themeColor="text1"/>
          <w:highlight w:val="none"/>
          <w:lang w:val="en-US" w:eastAsia="zh-CN"/>
          <w14:textFill>
            <w14:solidFill>
              <w14:schemeClr w14:val="tx1"/>
            </w14:solidFill>
          </w14:textFill>
        </w:rPr>
        <w:t>新高考命题以科学知识为基础，以生命观念为核心；以真实情境为载体，以问题解决为导向；以素养养成为目标，学以致用为落脚点。新高考试题情境新颖、陌生，设问开放、独特，信息丰富、多样。江苏新高考试题呈现出图表多、实验比重大、思维品质要求高、综合能力要求强的显著特点。近几年江苏高考真题及2次适应性考试试题是非常宝贵的备考资源，学生通过演练可亲身感触高考题的命题思路、设问方式，从中感悟解题技巧。要求学生演练高考真题时尽量不要去看答案，而应该自己想出或列出答案要点，然后再和给出的参考答案进行比较，比较时要注意两个答案的区别，要明白命题人给出那样的答案思路在哪里，自己当时做题的思路在哪里，然后再找出思路差异的原因。同时，二轮复习时，教师要做好高考真题的二次加工工作，利用经典高考题的图表等素材多角度设问训练学生思维。</w:t>
      </w:r>
    </w:p>
    <w:p>
      <w:pPr>
        <w:pStyle w:val="2"/>
        <w:keepNext w:val="0"/>
        <w:keepLines w:val="0"/>
        <w:pageBreakBefore w:val="0"/>
        <w:kinsoku/>
        <w:wordWrap/>
        <w:overflowPunct/>
        <w:topLinePunct w:val="0"/>
        <w:autoSpaceDE/>
        <w:autoSpaceDN/>
        <w:bidi w:val="0"/>
        <w:adjustRightInd w:val="0"/>
        <w:snapToGrid w:val="0"/>
        <w:spacing w:after="0"/>
        <w:ind w:firstLine="420" w:firstLineChars="200"/>
        <w:textAlignment w:val="auto"/>
        <w:rPr>
          <w:rFonts w:hint="eastAsia"/>
          <w:b w:val="0"/>
          <w:bCs/>
          <w:color w:val="000000" w:themeColor="text1"/>
          <w:highlight w:val="none"/>
          <w:lang w:val="en-US" w:eastAsia="zh-CN"/>
          <w14:textFill>
            <w14:solidFill>
              <w14:schemeClr w14:val="tx1"/>
            </w14:solidFill>
          </w14:textFill>
        </w:rPr>
      </w:pPr>
      <w:r>
        <w:rPr>
          <w:rFonts w:hint="eastAsia"/>
          <w:b w:val="0"/>
          <w:bCs/>
          <w:color w:val="000000" w:themeColor="text1"/>
          <w:highlight w:val="none"/>
          <w:lang w:val="en-US" w:eastAsia="zh-CN"/>
          <w14:textFill>
            <w14:solidFill>
              <w14:schemeClr w14:val="tx1"/>
            </w14:solidFill>
          </w14:textFill>
        </w:rPr>
        <w:t>后期备考时，教师选题质量要顶真，即选择的试题在形式和内涵上要契合新高考的考查要求，不仅要注重试题新颖性，更要关注试题的思维含量，切忌对模拟试题不加区分，彻底的“拿来主义”。教师要在海量的试题里进行挑选，任务量必然加大，这就需要组内分工协作，共同完成。学生做题过程要仿真，即让我们的学生在每一次的随堂训练、课后训练、周练、模考中，严格按照高考时间分配要求，限时训练，训练学生做题的速度与效度。训练后教师要规范批改，科学讲评，多途径训练规范表达，如注重基础，注重易错字和易混淆概念辨析；加强审题规范化训练，培养良好的审题习惯和审题方法；指导学生精读教材，从教材中获取规范表达的素材；教师注重自身语言、文字表达的规范性等。讲题过程要“较真”，多给学生创造表达的机会，学生能讲的，坚决让学生讲，教师重点进行技巧点拨与变式（补偿）训练，充分发挥练的最大效益。</w:t>
      </w:r>
    </w:p>
    <w:p>
      <w:pPr>
        <w:pStyle w:val="2"/>
        <w:keepNext w:val="0"/>
        <w:keepLines w:val="0"/>
        <w:pageBreakBefore w:val="0"/>
        <w:kinsoku/>
        <w:wordWrap/>
        <w:overflowPunct/>
        <w:topLinePunct w:val="0"/>
        <w:autoSpaceDE/>
        <w:autoSpaceDN/>
        <w:bidi w:val="0"/>
        <w:adjustRightInd w:val="0"/>
        <w:snapToGrid w:val="0"/>
        <w:spacing w:after="0"/>
        <w:ind w:firstLine="420" w:firstLineChars="200"/>
        <w:textAlignment w:val="auto"/>
        <w:rPr>
          <w:rFonts w:hint="default" w:ascii="宋体" w:hAnsi="宋体"/>
          <w:color w:val="000000" w:themeColor="text1"/>
          <w:szCs w:val="21"/>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NTcyMjQ3MmY3MjdjY2Q3NDFjNTkzYmU1MjMzZmUifQ=="/>
  </w:docVars>
  <w:rsids>
    <w:rsidRoot w:val="63290D45"/>
    <w:rsid w:val="056629B1"/>
    <w:rsid w:val="07090E7B"/>
    <w:rsid w:val="08BC186F"/>
    <w:rsid w:val="0B593CBA"/>
    <w:rsid w:val="1434013C"/>
    <w:rsid w:val="185760AF"/>
    <w:rsid w:val="19BA3FBB"/>
    <w:rsid w:val="1AE50CF0"/>
    <w:rsid w:val="20302290"/>
    <w:rsid w:val="280276BA"/>
    <w:rsid w:val="289C18BC"/>
    <w:rsid w:val="28A16EC0"/>
    <w:rsid w:val="290D694F"/>
    <w:rsid w:val="2CEF7A81"/>
    <w:rsid w:val="301343BA"/>
    <w:rsid w:val="39D215E2"/>
    <w:rsid w:val="3D37104D"/>
    <w:rsid w:val="41EE4ADF"/>
    <w:rsid w:val="42C5163B"/>
    <w:rsid w:val="43C06266"/>
    <w:rsid w:val="4D8D54ED"/>
    <w:rsid w:val="5281656A"/>
    <w:rsid w:val="553B27D0"/>
    <w:rsid w:val="58B050EB"/>
    <w:rsid w:val="597517DC"/>
    <w:rsid w:val="5A2B344F"/>
    <w:rsid w:val="5AF26F96"/>
    <w:rsid w:val="5B667A8E"/>
    <w:rsid w:val="5D514005"/>
    <w:rsid w:val="63290D45"/>
    <w:rsid w:val="66B3571F"/>
    <w:rsid w:val="6F792382"/>
    <w:rsid w:val="7696416D"/>
    <w:rsid w:val="76B15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11322</Words>
  <Characters>11911</Characters>
  <Lines>0</Lines>
  <Paragraphs>0</Paragraphs>
  <TotalTime>21</TotalTime>
  <ScaleCrop>false</ScaleCrop>
  <LinksUpToDate>false</LinksUpToDate>
  <CharactersWithSpaces>11977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2023-03-21T10:07:00Z</dcterms:created>
  <dc:creator>小久</dc:creator>
  <cp:lastModifiedBy>小久</cp:lastModifiedBy>
  <dcterms:modified xsi:type="dcterms:W3CDTF">2023-03-26T02:25:13Z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769B834A515649AA86678DAF0127FEF9</vt:lpwstr>
  </property>
</Properties>
</file>