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离心率开课反思</w:t>
      </w:r>
      <w:bookmarkStart w:id="0" w:name="_GoBack"/>
      <w:bookmarkEnd w:id="0"/>
    </w:p>
    <w:p>
      <w:pPr>
        <w:pStyle w:val="2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朱佳</w:t>
      </w:r>
    </w:p>
    <w:p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本节课从几个利用基本量求离心率的题型开始，核心是怎么</w:t>
      </w:r>
      <w:r>
        <w:rPr>
          <w:rFonts w:hint="eastAsia"/>
          <w:b w:val="0"/>
          <w:bCs w:val="0"/>
          <w:lang w:val="en-US" w:eastAsia="zh-CN"/>
        </w:rPr>
        <w:t>根据题目所给的条件列出方程或不等式的关系式来求出e的取值范围.对圆锥曲线中已知特征关系的转化是解决此类问题的关键，数形结合至关重要．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随后利用几道例题强调</w:t>
      </w:r>
      <w:r>
        <w:rPr>
          <w:rFonts w:hAnsi="宋体"/>
          <w:b w:val="0"/>
          <w:bCs w:val="0"/>
          <w:color w:val="auto"/>
          <w:sz w:val="21"/>
          <w:szCs w:val="21"/>
        </w:rPr>
        <w:t>根据题意求出</w:t>
      </w:r>
      <w:r>
        <w:rPr>
          <w:b w:val="0"/>
          <w:bCs w:val="0"/>
          <w:color w:val="auto"/>
          <w:position w:val="-10"/>
          <w:sz w:val="21"/>
          <w:szCs w:val="21"/>
        </w:rPr>
        <w:drawing>
          <wp:inline distT="0" distB="0" distL="114300" distR="114300">
            <wp:extent cx="381000" cy="200025"/>
            <wp:effectExtent l="0" t="0" r="0" b="6985"/>
            <wp:docPr id="3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学科网 版权所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的值，再由离心率的定义椭圆</w:t>
      </w:r>
      <w:r>
        <w:rPr>
          <w:b w:val="0"/>
          <w:bCs w:val="0"/>
          <w:color w:val="auto"/>
          <w:position w:val="-24"/>
          <w:sz w:val="21"/>
          <w:szCs w:val="21"/>
        </w:rPr>
        <w:drawing>
          <wp:inline distT="0" distB="0" distL="114300" distR="114300">
            <wp:extent cx="1414145" cy="368300"/>
            <wp:effectExtent l="0" t="0" r="14605" b="13335"/>
            <wp:docPr id="6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学科网 版权所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、双曲线</w:t>
      </w:r>
      <w:r>
        <w:rPr>
          <w:b w:val="0"/>
          <w:bCs w:val="0"/>
          <w:color w:val="auto"/>
          <w:position w:val="-24"/>
          <w:sz w:val="21"/>
          <w:szCs w:val="21"/>
        </w:rPr>
        <w:drawing>
          <wp:inline distT="0" distB="0" distL="114300" distR="114300">
            <wp:extent cx="1433195" cy="368935"/>
            <wp:effectExtent l="0" t="0" r="14605" b="12700"/>
            <wp:docPr id="5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 版权所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直接求解；由题意列出含有</w:t>
      </w:r>
      <w:r>
        <w:rPr>
          <w:b w:val="0"/>
          <w:bCs w:val="0"/>
          <w:color w:val="auto"/>
          <w:position w:val="-10"/>
          <w:sz w:val="21"/>
          <w:szCs w:val="21"/>
        </w:rPr>
        <w:drawing>
          <wp:inline distT="0" distB="0" distL="114300" distR="114300">
            <wp:extent cx="381000" cy="200025"/>
            <wp:effectExtent l="0" t="0" r="0" b="6985"/>
            <wp:docPr id="4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学科网 版权所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的方程</w:t>
      </w:r>
      <w:r>
        <w:rPr>
          <w:b w:val="0"/>
          <w:bCs w:val="0"/>
          <w:color w:val="auto"/>
          <w:sz w:val="21"/>
          <w:szCs w:val="21"/>
        </w:rPr>
        <w:t>(</w:t>
      </w:r>
      <w:r>
        <w:rPr>
          <w:rFonts w:hAnsi="宋体"/>
          <w:b w:val="0"/>
          <w:bCs w:val="0"/>
          <w:color w:val="auto"/>
          <w:sz w:val="21"/>
          <w:szCs w:val="21"/>
        </w:rPr>
        <w:t>或不等式</w:t>
      </w:r>
      <w:r>
        <w:rPr>
          <w:b w:val="0"/>
          <w:bCs w:val="0"/>
          <w:color w:val="auto"/>
          <w:sz w:val="21"/>
          <w:szCs w:val="21"/>
        </w:rPr>
        <w:t>)</w:t>
      </w:r>
      <w:r>
        <w:rPr>
          <w:rFonts w:hAnsi="宋体"/>
          <w:b w:val="0"/>
          <w:bCs w:val="0"/>
          <w:color w:val="auto"/>
          <w:sz w:val="21"/>
          <w:szCs w:val="21"/>
        </w:rPr>
        <w:t>，借助于椭圆</w:t>
      </w:r>
      <w:r>
        <w:rPr>
          <w:b w:val="0"/>
          <w:bCs w:val="0"/>
          <w:color w:val="auto"/>
          <w:position w:val="-6"/>
          <w:sz w:val="21"/>
          <w:szCs w:val="21"/>
        </w:rPr>
        <w:drawing>
          <wp:inline distT="0" distB="0" distL="114300" distR="114300">
            <wp:extent cx="663575" cy="191135"/>
            <wp:effectExtent l="0" t="0" r="3175" b="18415"/>
            <wp:docPr id="1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学科网 版权所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、双曲线</w:t>
      </w:r>
      <w:r>
        <w:rPr>
          <w:b w:val="0"/>
          <w:bCs w:val="0"/>
          <w:color w:val="auto"/>
          <w:position w:val="-6"/>
          <w:sz w:val="21"/>
          <w:szCs w:val="21"/>
        </w:rPr>
        <w:drawing>
          <wp:inline distT="0" distB="0" distL="114300" distR="114300">
            <wp:extent cx="659130" cy="189865"/>
            <wp:effectExtent l="0" t="0" r="7620" b="635"/>
            <wp:docPr id="2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学科网 版权所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消去</w:t>
      </w:r>
      <w:r>
        <w:rPr>
          <w:b w:val="0"/>
          <w:bCs w:val="0"/>
          <w:i/>
          <w:color w:val="auto"/>
          <w:sz w:val="21"/>
          <w:szCs w:val="21"/>
        </w:rPr>
        <w:t>b</w:t>
      </w:r>
      <w:r>
        <w:rPr>
          <w:rFonts w:hAnsi="宋体"/>
          <w:b w:val="0"/>
          <w:bCs w:val="0"/>
          <w:color w:val="auto"/>
          <w:sz w:val="21"/>
          <w:szCs w:val="21"/>
        </w:rPr>
        <w:t>，构造</w:t>
      </w:r>
      <w:r>
        <w:rPr>
          <w:b w:val="0"/>
          <w:bCs w:val="0"/>
          <w:color w:val="auto"/>
          <w:position w:val="-10"/>
          <w:sz w:val="21"/>
          <w:szCs w:val="21"/>
        </w:rPr>
        <w:drawing>
          <wp:inline distT="0" distB="0" distL="114300" distR="114300">
            <wp:extent cx="257175" cy="161925"/>
            <wp:effectExtent l="0" t="0" r="9525" b="7620"/>
            <wp:docPr id="8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学科网 版权所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的齐次式，求出</w:t>
      </w:r>
      <w:r>
        <w:rPr>
          <w:b w:val="0"/>
          <w:bCs w:val="0"/>
          <w:color w:val="auto"/>
          <w:position w:val="-6"/>
          <w:sz w:val="21"/>
          <w:szCs w:val="21"/>
        </w:rPr>
        <w:drawing>
          <wp:inline distT="0" distB="0" distL="114300" distR="114300">
            <wp:extent cx="114300" cy="142875"/>
            <wp:effectExtent l="0" t="0" r="0" b="8255"/>
            <wp:docPr id="7" name="图片 1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学科网 版权所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 w:val="0"/>
          <w:bCs w:val="0"/>
          <w:color w:val="auto"/>
          <w:sz w:val="21"/>
          <w:szCs w:val="21"/>
        </w:rPr>
        <w:t>；</w:t>
      </w:r>
      <w:r>
        <w:rPr>
          <w:rFonts w:hint="eastAsia" w:hAnsi="宋体"/>
          <w:b w:val="0"/>
          <w:bCs w:val="0"/>
          <w:color w:val="auto"/>
          <w:sz w:val="21"/>
          <w:szCs w:val="21"/>
          <w:lang w:val="en-US" w:eastAsia="zh-CN"/>
        </w:rPr>
        <w:t>构建求解离心率的基本思想。在焦点三角形中，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些问题本质考察焦点三角形的内容，而焦点三角形本质也只是三角形，因此可以联想：①三角形三边关系+第一定义（利用焦半径的范围）（或是三角形三边关系）（需构造一次等式或不等式）②解三角形（余弦定理）（特征是题干提供角度信息）（需构造二次的等式或不等式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在具体的上课过程中，从简单的定义出发，理解相关求解方法，把时间交给学生，在课堂教学中有着很好的作用</w:t>
      </w:r>
    </w:p>
    <w:p>
      <w:pPr>
        <w:jc w:val="both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TU0NjY2YWVkZjVlNmQ5ZTQ0MjhmYjAzMWQ3ZTIifQ=="/>
  </w:docVars>
  <w:rsids>
    <w:rsidRoot w:val="6C5A2014"/>
    <w:rsid w:val="064F46C5"/>
    <w:rsid w:val="5B6E1C6A"/>
    <w:rsid w:val="6C5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2022-11-24T00:23:00Z</dcterms:created>
  <dc:creator>Snowfairy</dc:creator>
  <cp:lastModifiedBy>Snowfairy</cp:lastModifiedBy>
  <dcterms:modified xsi:type="dcterms:W3CDTF">2022-12-15T02:57:49Z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AAC8AD3770BA4869825AA097DE3DC5A4</vt:lpwstr>
  </property>
</Properties>
</file>