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楷体" w:hAnsi="楷体" w:eastAsia="楷体"/>
          <w:b/>
          <w:bCs/>
          <w:sz w:val="36"/>
          <w:szCs w:val="36"/>
          <w:lang w:eastAsia="zh-CN"/>
        </w:rPr>
      </w:pPr>
      <w:r>
        <w:rPr>
          <w:rFonts w:hint="eastAsia" w:ascii="楷体" w:hAnsi="楷体" w:eastAsia="楷体"/>
          <w:b/>
          <w:bCs/>
          <w:sz w:val="36"/>
          <w:szCs w:val="36"/>
        </w:rPr>
        <w:t>《氮及其化合物》</w:t>
      </w:r>
      <w:r>
        <w:rPr>
          <w:rFonts w:hint="eastAsia" w:ascii="楷体" w:hAnsi="楷体" w:eastAsia="楷体"/>
          <w:b/>
          <w:bCs/>
          <w:sz w:val="36"/>
          <w:szCs w:val="36"/>
          <w:lang w:val="en-US" w:eastAsia="zh-CN"/>
        </w:rPr>
        <w:t>评课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231F20"/>
          <w:kern w:val="0"/>
          <w:sz w:val="28"/>
          <w:szCs w:val="28"/>
          <w:lang w:val="en-US" w:eastAsia="zh-CN"/>
        </w:rPr>
      </w:pPr>
      <w:bookmarkStart w:id="0" w:name="_GoBack"/>
      <w:r>
        <w:rPr>
          <w:rFonts w:hint="eastAsia" w:ascii="宋体" w:hAnsi="宋体" w:eastAsia="宋体" w:cs="宋体"/>
          <w:b w:val="0"/>
          <w:bCs/>
          <w:sz w:val="28"/>
          <w:szCs w:val="28"/>
          <w:lang w:val="en-US" w:eastAsia="zh-CN"/>
        </w:rPr>
        <w:t>本节课是氮及其化合物教学的第一课时，通过自然界中氮的循环，将涉及到的</w:t>
      </w:r>
      <w:r>
        <w:rPr>
          <w:rFonts w:hint="eastAsia" w:ascii="宋体" w:hAnsi="宋体" w:eastAsia="宋体" w:cs="宋体"/>
          <w:color w:val="231F20"/>
          <w:kern w:val="0"/>
          <w:sz w:val="28"/>
          <w:szCs w:val="28"/>
        </w:rPr>
        <w:t>N</w:t>
      </w:r>
      <w:r>
        <w:rPr>
          <w:rFonts w:hint="eastAsia" w:ascii="宋体" w:hAnsi="宋体" w:eastAsia="宋体" w:cs="宋体"/>
          <w:color w:val="231F20"/>
          <w:kern w:val="0"/>
          <w:sz w:val="28"/>
          <w:szCs w:val="28"/>
          <w:vertAlign w:val="subscript"/>
        </w:rPr>
        <w:t>2</w:t>
      </w:r>
      <w:r>
        <w:rPr>
          <w:rFonts w:hint="eastAsia" w:ascii="宋体" w:hAnsi="宋体" w:eastAsia="宋体" w:cs="宋体"/>
          <w:color w:val="231F20"/>
          <w:kern w:val="0"/>
          <w:sz w:val="28"/>
          <w:szCs w:val="28"/>
        </w:rPr>
        <w:t>、NO、NO</w:t>
      </w:r>
      <w:r>
        <w:rPr>
          <w:rFonts w:hint="eastAsia" w:ascii="宋体" w:hAnsi="宋体" w:eastAsia="宋体" w:cs="宋体"/>
          <w:color w:val="231F20"/>
          <w:kern w:val="0"/>
          <w:sz w:val="28"/>
          <w:szCs w:val="28"/>
          <w:vertAlign w:val="subscript"/>
        </w:rPr>
        <w:t>2</w:t>
      </w:r>
      <w:r>
        <w:rPr>
          <w:rFonts w:hint="eastAsia" w:ascii="宋体" w:hAnsi="宋体" w:eastAsia="宋体" w:cs="宋体"/>
          <w:color w:val="231F20"/>
          <w:kern w:val="0"/>
          <w:sz w:val="28"/>
          <w:szCs w:val="28"/>
        </w:rPr>
        <w:t>、</w:t>
      </w:r>
      <w:r>
        <w:rPr>
          <w:rFonts w:hint="eastAsia" w:ascii="宋体" w:hAnsi="宋体" w:eastAsia="宋体" w:cs="宋体"/>
          <w:color w:val="231F20"/>
          <w:kern w:val="0"/>
          <w:sz w:val="28"/>
          <w:szCs w:val="28"/>
          <w:lang w:val="en-US" w:eastAsia="zh-CN"/>
        </w:rPr>
        <w:t>H</w:t>
      </w:r>
      <w:r>
        <w:rPr>
          <w:rFonts w:hint="eastAsia" w:ascii="宋体" w:hAnsi="宋体" w:eastAsia="宋体" w:cs="宋体"/>
          <w:color w:val="231F20"/>
          <w:kern w:val="0"/>
          <w:sz w:val="28"/>
          <w:szCs w:val="28"/>
        </w:rPr>
        <w:t>NO</w:t>
      </w:r>
      <w:r>
        <w:rPr>
          <w:rFonts w:hint="eastAsia" w:ascii="宋体" w:hAnsi="宋体" w:eastAsia="宋体" w:cs="宋体"/>
          <w:color w:val="231F20"/>
          <w:kern w:val="0"/>
          <w:sz w:val="28"/>
          <w:szCs w:val="28"/>
          <w:vertAlign w:val="subscript"/>
        </w:rPr>
        <w:t>3</w:t>
      </w:r>
      <w:r>
        <w:rPr>
          <w:rFonts w:hint="eastAsia" w:ascii="宋体" w:hAnsi="宋体" w:eastAsia="宋体" w:cs="宋体"/>
          <w:color w:val="231F20"/>
          <w:kern w:val="0"/>
          <w:sz w:val="28"/>
          <w:szCs w:val="28"/>
        </w:rPr>
        <w:t>、NH</w:t>
      </w:r>
      <w:r>
        <w:rPr>
          <w:rFonts w:hint="eastAsia" w:ascii="宋体" w:hAnsi="宋体" w:eastAsia="宋体" w:cs="宋体"/>
          <w:color w:val="231F20"/>
          <w:kern w:val="0"/>
          <w:sz w:val="28"/>
          <w:szCs w:val="28"/>
          <w:vertAlign w:val="subscript"/>
        </w:rPr>
        <w:t>3</w:t>
      </w:r>
      <w:r>
        <w:rPr>
          <w:rFonts w:hint="eastAsia" w:ascii="宋体" w:hAnsi="宋体" w:eastAsia="宋体" w:cs="宋体"/>
          <w:color w:val="231F20"/>
          <w:kern w:val="0"/>
          <w:sz w:val="28"/>
          <w:szCs w:val="28"/>
        </w:rPr>
        <w:t>、NH</w:t>
      </w:r>
      <w:r>
        <w:rPr>
          <w:rFonts w:hint="eastAsia" w:ascii="宋体" w:hAnsi="宋体" w:eastAsia="宋体" w:cs="宋体"/>
          <w:color w:val="231F20"/>
          <w:kern w:val="0"/>
          <w:sz w:val="28"/>
          <w:szCs w:val="28"/>
          <w:vertAlign w:val="subscript"/>
        </w:rPr>
        <w:t>4</w:t>
      </w:r>
      <w:r>
        <w:rPr>
          <w:rFonts w:hint="eastAsia" w:ascii="宋体" w:hAnsi="宋体" w:eastAsia="宋体" w:cs="宋体"/>
          <w:color w:val="231F20"/>
          <w:kern w:val="0"/>
          <w:sz w:val="28"/>
          <w:szCs w:val="28"/>
          <w:vertAlign w:val="superscript"/>
        </w:rPr>
        <w:t>+</w:t>
      </w:r>
      <w:r>
        <w:rPr>
          <w:rFonts w:hint="eastAsia" w:ascii="宋体" w:hAnsi="宋体" w:eastAsia="宋体" w:cs="宋体"/>
          <w:color w:val="231F20"/>
          <w:kern w:val="0"/>
          <w:sz w:val="28"/>
          <w:szCs w:val="28"/>
        </w:rPr>
        <w:t>、NO</w:t>
      </w:r>
      <w:r>
        <w:rPr>
          <w:rFonts w:hint="eastAsia" w:ascii="宋体" w:hAnsi="宋体" w:eastAsia="宋体" w:cs="宋体"/>
          <w:color w:val="231F20"/>
          <w:kern w:val="0"/>
          <w:sz w:val="28"/>
          <w:szCs w:val="28"/>
          <w:vertAlign w:val="subscript"/>
        </w:rPr>
        <w:t>2</w:t>
      </w:r>
      <w:r>
        <w:rPr>
          <w:rFonts w:hint="eastAsia" w:ascii="宋体" w:hAnsi="宋体" w:eastAsia="宋体" w:cs="宋体"/>
          <w:color w:val="231F20"/>
          <w:kern w:val="0"/>
          <w:sz w:val="28"/>
          <w:szCs w:val="28"/>
          <w:vertAlign w:val="superscript"/>
        </w:rPr>
        <w:t>-</w:t>
      </w:r>
      <w:r>
        <w:rPr>
          <w:rFonts w:hint="eastAsia" w:ascii="宋体" w:hAnsi="宋体" w:eastAsia="宋体" w:cs="宋体"/>
          <w:color w:val="231F20"/>
          <w:kern w:val="0"/>
          <w:sz w:val="28"/>
          <w:szCs w:val="28"/>
        </w:rPr>
        <w:t>、NO</w:t>
      </w:r>
      <w:r>
        <w:rPr>
          <w:rFonts w:hint="eastAsia" w:ascii="宋体" w:hAnsi="宋体" w:eastAsia="宋体" w:cs="宋体"/>
          <w:color w:val="231F20"/>
          <w:kern w:val="0"/>
          <w:sz w:val="28"/>
          <w:szCs w:val="28"/>
          <w:vertAlign w:val="subscript"/>
        </w:rPr>
        <w:t>3</w:t>
      </w:r>
      <w:r>
        <w:rPr>
          <w:rFonts w:hint="eastAsia" w:ascii="宋体" w:hAnsi="宋体" w:eastAsia="宋体" w:cs="宋体"/>
          <w:color w:val="231F20"/>
          <w:kern w:val="0"/>
          <w:sz w:val="28"/>
          <w:szCs w:val="28"/>
          <w:vertAlign w:val="superscript"/>
        </w:rPr>
        <w:t>-</w:t>
      </w:r>
      <w:r>
        <w:rPr>
          <w:rFonts w:hint="eastAsia" w:ascii="宋体" w:hAnsi="宋体" w:eastAsia="宋体" w:cs="宋体"/>
          <w:color w:val="231F20"/>
          <w:kern w:val="0"/>
          <w:sz w:val="28"/>
          <w:szCs w:val="28"/>
          <w:lang w:val="en-US" w:eastAsia="zh-CN"/>
        </w:rPr>
        <w:t>等物质，整体呈现在学生面前，建立初步的感性认识。接着，通过探索自然界中雷电固氮过程、设计人工固氮路径等环节，在任务解决过程中归纳总结出相关物质的性质与化学反应，将物质转化的关系网逐步构建起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231F20"/>
          <w:kern w:val="0"/>
          <w:sz w:val="28"/>
          <w:szCs w:val="28"/>
          <w:lang w:val="en-US" w:eastAsia="zh-CN"/>
        </w:rPr>
      </w:pPr>
      <w:r>
        <w:rPr>
          <w:rFonts w:hint="eastAsia" w:ascii="宋体" w:hAnsi="宋体" w:eastAsia="宋体" w:cs="宋体"/>
          <w:color w:val="231F20"/>
          <w:kern w:val="0"/>
          <w:sz w:val="28"/>
          <w:szCs w:val="28"/>
          <w:lang w:val="en-US" w:eastAsia="zh-CN"/>
        </w:rPr>
        <w:t>物质类别和价态是认识物质性质和转化的两个主要角度，建立二维的思路和方法是元素化合物知识学习过程中的重要目标之一。本节课在认识含有氮元素的物质环节，首先构建了静态的</w:t>
      </w:r>
      <w:r>
        <w:rPr>
          <w:rFonts w:hint="eastAsia" w:ascii="宋体" w:hAnsi="宋体" w:eastAsia="宋体" w:cs="宋体"/>
          <w:color w:val="231F20"/>
          <w:kern w:val="0"/>
          <w:sz w:val="28"/>
          <w:szCs w:val="28"/>
        </w:rPr>
        <w:t>“价态-类别”二维图</w:t>
      </w:r>
      <w:r>
        <w:rPr>
          <w:rFonts w:hint="eastAsia" w:ascii="宋体" w:hAnsi="宋体" w:eastAsia="宋体" w:cs="宋体"/>
          <w:color w:val="231F20"/>
          <w:kern w:val="0"/>
          <w:sz w:val="28"/>
          <w:szCs w:val="28"/>
          <w:lang w:val="en-US" w:eastAsia="zh-CN"/>
        </w:rPr>
        <w:t>；在后续的学习任务中，引导学生思考结构与物质之间的转化关系，将动态的</w:t>
      </w:r>
      <w:r>
        <w:rPr>
          <w:rFonts w:hint="eastAsia" w:ascii="宋体" w:hAnsi="宋体" w:eastAsia="宋体" w:cs="宋体"/>
          <w:color w:val="231F20"/>
          <w:kern w:val="0"/>
          <w:sz w:val="28"/>
          <w:szCs w:val="28"/>
        </w:rPr>
        <w:t>“</w:t>
      </w:r>
      <w:r>
        <w:rPr>
          <w:rFonts w:hint="eastAsia" w:ascii="宋体" w:hAnsi="宋体" w:eastAsia="宋体" w:cs="宋体"/>
          <w:color w:val="231F20"/>
          <w:kern w:val="0"/>
          <w:sz w:val="28"/>
          <w:szCs w:val="28"/>
          <w:lang w:val="en-US" w:eastAsia="zh-CN"/>
        </w:rPr>
        <w:t>结构</w:t>
      </w:r>
      <w:r>
        <w:rPr>
          <w:rFonts w:hint="eastAsia" w:ascii="宋体" w:hAnsi="宋体" w:eastAsia="宋体" w:cs="宋体"/>
          <w:color w:val="231F20"/>
          <w:kern w:val="0"/>
          <w:sz w:val="28"/>
          <w:szCs w:val="28"/>
        </w:rPr>
        <w:t>-价态-类别”</w:t>
      </w:r>
      <w:r>
        <w:rPr>
          <w:rFonts w:hint="eastAsia" w:ascii="宋体" w:hAnsi="宋体" w:eastAsia="宋体" w:cs="宋体"/>
          <w:color w:val="231F20"/>
          <w:kern w:val="0"/>
          <w:sz w:val="28"/>
          <w:szCs w:val="28"/>
          <w:lang w:val="en-US" w:eastAsia="zh-CN"/>
        </w:rPr>
        <w:t>三</w:t>
      </w:r>
      <w:r>
        <w:rPr>
          <w:rFonts w:hint="eastAsia" w:ascii="宋体" w:hAnsi="宋体" w:eastAsia="宋体" w:cs="宋体"/>
          <w:color w:val="231F20"/>
          <w:kern w:val="0"/>
          <w:sz w:val="28"/>
          <w:szCs w:val="28"/>
        </w:rPr>
        <w:t>维图</w:t>
      </w:r>
      <w:r>
        <w:rPr>
          <w:rFonts w:hint="eastAsia" w:ascii="宋体" w:hAnsi="宋体" w:eastAsia="宋体" w:cs="宋体"/>
          <w:color w:val="231F20"/>
          <w:kern w:val="0"/>
          <w:sz w:val="28"/>
          <w:szCs w:val="28"/>
          <w:lang w:val="en-US" w:eastAsia="zh-CN"/>
        </w:rPr>
        <w:t>逐步呈现出来，并引导学生应用三维图解决陌生问题，逐步将思维和方法落地。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color w:val="231F20"/>
          <w:kern w:val="0"/>
          <w:sz w:val="28"/>
          <w:szCs w:val="28"/>
          <w:lang w:val="en-US" w:eastAsia="zh-CN"/>
        </w:rPr>
        <w:t>化学实验对于全面发展学生的化学核心素养有着极为重要的作用。本课时中涉及的变化过程通过实验展示有一定的难度，如空气放电生成NO需要较高的电压和较长的观察时间，NO与NO</w:t>
      </w:r>
      <w:r>
        <w:rPr>
          <w:rFonts w:hint="eastAsia" w:ascii="宋体" w:hAnsi="宋体" w:eastAsia="宋体" w:cs="宋体"/>
          <w:b w:val="0"/>
          <w:bCs w:val="0"/>
          <w:color w:val="231F20"/>
          <w:kern w:val="0"/>
          <w:sz w:val="28"/>
          <w:szCs w:val="28"/>
          <w:vertAlign w:val="subscript"/>
          <w:lang w:val="en-US" w:eastAsia="zh-CN"/>
        </w:rPr>
        <w:t>2</w:t>
      </w:r>
      <w:r>
        <w:rPr>
          <w:rFonts w:hint="eastAsia" w:ascii="宋体" w:hAnsi="宋体" w:eastAsia="宋体" w:cs="宋体"/>
          <w:color w:val="231F20"/>
          <w:kern w:val="0"/>
          <w:sz w:val="28"/>
          <w:szCs w:val="28"/>
          <w:lang w:val="en-US" w:eastAsia="zh-CN"/>
        </w:rPr>
        <w:t>的转化有可能造成环境污染。因此，本节课通过视频缩短了观察时间；通过针筒实验实现了绿色化设计，增强了演示效果，更好地帮助学生认识含有氮元素物质的性质及转化。</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907CA"/>
    <w:rsid w:val="4BF90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2021-03-09T01:52:00Z</dcterms:created>
  <dc:creator>馥郁芬芳</dc:creator>
  <cp:lastModifiedBy>馥郁芬芳</cp:lastModifiedBy>
  <dcterms:modified xsi:type="dcterms:W3CDTF">2021-03-09T01:54:10Z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