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对于学生的讨论问题应给予充分的时间进行讨论。怎样建设文化强国是本课的重点知识，理应安排更多的时间让学生充分讨论，从学生自己的角度出发，从身边的小事着手，以小见大。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PPT所呈现的内容过多，字体的大小应适当进行调节，素材不在多而在于精，精选素材，适当进行取舍。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4A31"/>
    <w:rsid w:val="579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┈━☆桃子小姐</dc:creator>
  <cp:lastModifiedBy>┈━☆桃子小姐</cp:lastModifiedBy>
  <dcterms:modified xsi:type="dcterms:W3CDTF">2021-10-28T01:45:11Z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97B05DB88A1E44ACA904A9FB7AE54391</vt:lpwstr>
  </property>
</Properties>
</file>