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字体管家版宋" w:hAnsi="字体管家版宋" w:eastAsia="字体管家版宋" w:cs="字体管家版宋"/>
          <w:color w:val="1414FC"/>
          <w:sz w:val="40"/>
          <w:szCs w:val="48"/>
          <w:lang w:val="en-US" w:eastAsia="zh-CN"/>
        </w:rPr>
      </w:pPr>
      <w:r>
        <w:rPr>
          <w:rFonts w:hint="eastAsia" w:ascii="字体管家版宋" w:hAnsi="字体管家版宋" w:eastAsia="字体管家版宋" w:cs="字体管家版宋"/>
          <w:color w:val="1414FC"/>
          <w:sz w:val="40"/>
          <w:szCs w:val="48"/>
          <w:lang w:val="en-US" w:eastAsia="zh-CN"/>
        </w:rPr>
        <w:t>8.2《文化交流与文化交融》教学设计</w:t>
      </w:r>
    </w:p>
    <w:p>
      <w:pPr>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ascii="微软雅黑" w:hAnsi="微软雅黑" w:eastAsia="微软雅黑" w:cs="微软雅黑"/>
          <w:b/>
          <w:bCs/>
          <w:color w:val="C00000"/>
          <w:sz w:val="32"/>
          <w:szCs w:val="40"/>
        </w:rPr>
      </w:pPr>
      <w:bookmarkStart w:id="0" w:name="_GoBack"/>
      <w:bookmarkEnd w:id="0"/>
      <w:r>
        <w:rPr>
          <w:rFonts w:hint="eastAsia" w:ascii="微软雅黑" w:hAnsi="微软雅黑" w:eastAsia="微软雅黑" w:cs="微软雅黑"/>
          <w:b/>
          <w:bCs/>
          <w:color w:val="C00000"/>
          <w:sz w:val="32"/>
          <w:szCs w:val="40"/>
        </w:rPr>
        <w:t>课时安排</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ascii="仿宋" w:hAnsi="仿宋" w:eastAsia="仿宋" w:cs="仿宋"/>
          <w:b/>
          <w:bCs/>
        </w:rPr>
      </w:pPr>
      <w:r>
        <w:rPr>
          <w:rFonts w:hint="eastAsia" w:ascii="仿宋" w:hAnsi="仿宋" w:eastAsia="仿宋" w:cs="仿宋"/>
          <w:b/>
          <w:bCs/>
        </w:rPr>
        <w:t>本框内容</w:t>
      </w:r>
      <w:r>
        <w:rPr>
          <w:rFonts w:hint="eastAsia" w:ascii="仿宋" w:hAnsi="仿宋" w:eastAsia="仿宋" w:cs="仿宋"/>
          <w:b/>
          <w:bCs/>
          <w:lang w:val="en-US" w:eastAsia="zh-CN"/>
        </w:rPr>
        <w:t>比较简单，故</w:t>
      </w:r>
      <w:r>
        <w:rPr>
          <w:rFonts w:hint="eastAsia" w:ascii="仿宋" w:hAnsi="仿宋" w:eastAsia="仿宋" w:cs="仿宋"/>
          <w:b/>
          <w:bCs/>
        </w:rPr>
        <w:t>本框建议安排</w:t>
      </w:r>
      <w:r>
        <w:rPr>
          <w:rFonts w:hint="eastAsia" w:ascii="仿宋" w:hAnsi="仿宋" w:eastAsia="仿宋" w:cs="仿宋"/>
          <w:b/>
          <w:bCs/>
          <w:lang w:val="en-US" w:eastAsia="zh-CN"/>
        </w:rPr>
        <w:t>1</w:t>
      </w:r>
      <w:r>
        <w:rPr>
          <w:rFonts w:hint="eastAsia" w:ascii="仿宋" w:hAnsi="仿宋" w:eastAsia="仿宋" w:cs="仿宋"/>
          <w:b/>
          <w:bCs/>
        </w:rPr>
        <w:t>课时。</w:t>
      </w:r>
    </w:p>
    <w:p>
      <w:pPr>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ascii="微软雅黑" w:hAnsi="微软雅黑" w:eastAsia="微软雅黑" w:cs="微软雅黑"/>
          <w:b/>
          <w:bCs/>
          <w:color w:val="C00000"/>
          <w:sz w:val="32"/>
          <w:szCs w:val="40"/>
        </w:rPr>
      </w:pPr>
      <w:r>
        <w:rPr>
          <w:rFonts w:hint="eastAsia" w:ascii="微软雅黑" w:hAnsi="微软雅黑" w:eastAsia="微软雅黑" w:cs="微软雅黑"/>
          <w:b/>
          <w:bCs/>
          <w:color w:val="C00000"/>
          <w:sz w:val="32"/>
          <w:szCs w:val="40"/>
        </w:rPr>
        <w:t>基本思路：</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default" w:ascii="仿宋" w:hAnsi="仿宋" w:eastAsia="仿宋" w:cs="仿宋"/>
          <w:b/>
          <w:bCs/>
          <w:lang w:val="en-US" w:eastAsia="zh-CN"/>
        </w:rPr>
      </w:pPr>
      <w:r>
        <w:rPr>
          <w:rFonts w:hint="eastAsia" w:ascii="仿宋" w:hAnsi="仿宋" w:eastAsia="仿宋" w:cs="仿宋"/>
          <w:b/>
          <w:bCs/>
          <w:lang w:val="en-US" w:eastAsia="zh-CN"/>
        </w:rPr>
        <w:t>本课以敦煌的莫高窟的历史为载体，探寻文化交流与文化交融的知识。</w:t>
      </w:r>
    </w:p>
    <w:p>
      <w:pPr>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ascii="微软雅黑" w:hAnsi="微软雅黑" w:eastAsia="微软雅黑" w:cs="微软雅黑"/>
          <w:b/>
          <w:bCs/>
          <w:color w:val="C00000"/>
          <w:sz w:val="32"/>
          <w:szCs w:val="40"/>
        </w:rPr>
      </w:pPr>
      <w:r>
        <w:rPr>
          <w:rFonts w:hint="eastAsia" w:ascii="微软雅黑" w:hAnsi="微软雅黑" w:eastAsia="微软雅黑" w:cs="微软雅黑"/>
          <w:b/>
          <w:bCs/>
          <w:color w:val="C00000"/>
          <w:sz w:val="32"/>
          <w:szCs w:val="40"/>
        </w:rPr>
        <w:t>重点难点：</w:t>
      </w:r>
    </w:p>
    <w:p>
      <w:pPr>
        <w:keepNext w:val="0"/>
        <w:keepLines w:val="0"/>
        <w:pageBreakBefore w:val="0"/>
        <w:numPr>
          <w:ilvl w:val="0"/>
          <w:numId w:val="2"/>
        </w:numPr>
        <w:kinsoku/>
        <w:wordWrap/>
        <w:overflowPunct/>
        <w:topLinePunct w:val="0"/>
        <w:autoSpaceDE/>
        <w:autoSpaceDN/>
        <w:bidi w:val="0"/>
        <w:adjustRightInd/>
        <w:snapToGrid/>
        <w:spacing w:line="240" w:lineRule="auto"/>
        <w:textAlignment w:val="auto"/>
        <w:rPr>
          <w:rFonts w:hint="eastAsia" w:ascii="仿宋" w:hAnsi="仿宋" w:eastAsia="仿宋" w:cs="仿宋"/>
          <w:b/>
          <w:bCs/>
          <w:szCs w:val="24"/>
        </w:rPr>
      </w:pPr>
      <w:r>
        <w:rPr>
          <w:rFonts w:hint="eastAsia" w:ascii="仿宋" w:hAnsi="仿宋" w:eastAsia="仿宋" w:cs="仿宋"/>
          <w:b/>
          <w:bCs/>
          <w:szCs w:val="24"/>
          <w:lang w:val="en-US" w:eastAsia="zh-CN"/>
        </w:rPr>
        <w:t>教学重点难点：文化交融</w:t>
      </w:r>
    </w:p>
    <w:p>
      <w:pPr>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ascii="微软雅黑" w:hAnsi="微软雅黑" w:eastAsia="微软雅黑" w:cs="微软雅黑"/>
          <w:b/>
          <w:bCs/>
          <w:color w:val="C00000"/>
          <w:sz w:val="32"/>
          <w:szCs w:val="40"/>
        </w:rPr>
      </w:pPr>
      <w:r>
        <w:rPr>
          <w:rFonts w:hint="eastAsia" w:ascii="微软雅黑" w:hAnsi="微软雅黑" w:eastAsia="微软雅黑" w:cs="微软雅黑"/>
          <w:b/>
          <w:bCs/>
          <w:color w:val="C00000"/>
          <w:sz w:val="32"/>
          <w:szCs w:val="40"/>
        </w:rPr>
        <w:t>教学过程</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本框设计可分为三大部分：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微软雅黑" w:hAnsi="微软雅黑" w:eastAsia="微软雅黑"/>
          <w:b/>
          <w:bCs/>
          <w:color w:val="0000FF"/>
          <w:sz w:val="28"/>
          <w:szCs w:val="36"/>
          <w:lang w:val="en-US" w:eastAsia="zh-CN"/>
        </w:rPr>
      </w:pPr>
      <w:r>
        <w:rPr>
          <w:rFonts w:hint="eastAsia" w:ascii="微软雅黑" w:hAnsi="微软雅黑" w:eastAsia="微软雅黑"/>
          <w:b/>
          <w:bCs/>
          <w:color w:val="0000FF"/>
          <w:sz w:val="28"/>
          <w:szCs w:val="36"/>
          <w:lang w:val="en-US" w:eastAsia="zh-CN"/>
        </w:rPr>
        <w:t>一、导入：</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公元前111年，汉武帝设立敦煌郡。</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敦者，大也；煌者，盛也。盛大辉煌，是为敦煌</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color w:val="FF0000"/>
          <w:sz w:val="24"/>
          <w:szCs w:val="24"/>
          <w:lang w:val="en-US" w:eastAsia="zh-CN"/>
        </w:rPr>
      </w:pPr>
      <w:r>
        <w:rPr>
          <w:rFonts w:hint="eastAsia" w:ascii="仿宋" w:hAnsi="仿宋" w:eastAsia="仿宋" w:cs="仿宋"/>
          <w:b/>
          <w:bCs/>
          <w:color w:val="auto"/>
          <w:sz w:val="24"/>
          <w:szCs w:val="24"/>
          <w:lang w:val="en-US" w:eastAsia="zh-CN"/>
        </w:rPr>
        <w:t>季羡林说：“世界上历史悠久、地域广阔、自成体系、影响深远的文化体系只有四个：中国、印度、希腊、伊斯兰；而这四个文化体系汇流的地方只有一个，就是中国的敦煌和新疆地区。</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问题：敦煌地处河西走廊最西边，远离四大文明中心，大漠孤烟，那么，是什么让一个沙漠之城成为盛大辉煌的敦煌呢？</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微软雅黑" w:hAnsi="微软雅黑" w:eastAsia="微软雅黑" w:cstheme="minorBidi"/>
          <w:b/>
          <w:bCs/>
          <w:color w:val="0000FF"/>
          <w:kern w:val="2"/>
          <w:sz w:val="28"/>
          <w:szCs w:val="36"/>
          <w:lang w:val="en-US" w:eastAsia="zh-CN" w:bidi="ar-SA"/>
        </w:rPr>
      </w:pPr>
      <w:r>
        <w:rPr>
          <w:rFonts w:hint="eastAsia" w:ascii="微软雅黑" w:hAnsi="微软雅黑" w:eastAsia="微软雅黑" w:cstheme="minorBidi"/>
          <w:b/>
          <w:bCs/>
          <w:color w:val="0000FF"/>
          <w:kern w:val="2"/>
          <w:sz w:val="28"/>
          <w:szCs w:val="36"/>
          <w:lang w:val="en-US" w:eastAsia="zh-CN" w:bidi="ar-SA"/>
        </w:rPr>
        <w:t>二、议题一：敦煌，因何而“敦”——文化交流与文化发展</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color w:val="1F2DA8"/>
          <w:lang w:val="en-US" w:eastAsia="zh-CN"/>
        </w:rPr>
      </w:pPr>
      <w:r>
        <w:rPr>
          <w:rFonts w:hint="eastAsia" w:ascii="楷体" w:hAnsi="楷体" w:eastAsia="楷体" w:cs="楷体"/>
          <w:b/>
          <w:bCs/>
          <w:color w:val="000000" w:themeColor="text1"/>
          <w:sz w:val="24"/>
          <w:szCs w:val="28"/>
          <w:lang w:val="en-US" w:eastAsia="zh-CN"/>
          <w14:textFill>
            <w14:solidFill>
              <w14:schemeClr w14:val="tx1"/>
            </w14:solidFill>
          </w14:textFill>
        </w:rPr>
        <w:t>播放视频《从希腊到敦煌》，提出</w:t>
      </w:r>
      <w:r>
        <w:rPr>
          <w:rFonts w:hint="eastAsia" w:ascii="楷体" w:hAnsi="楷体" w:eastAsia="楷体" w:cs="楷体"/>
          <w:b/>
          <w:bCs/>
          <w:color w:val="FF0000"/>
          <w:sz w:val="24"/>
          <w:szCs w:val="28"/>
          <w:lang w:val="en-US" w:eastAsia="zh-CN"/>
        </w:rPr>
        <w:t>具体</w:t>
      </w:r>
      <w:r>
        <w:rPr>
          <w:rFonts w:hint="eastAsia" w:ascii="楷体" w:hAnsi="楷体" w:eastAsia="楷体" w:cs="楷体"/>
          <w:b/>
          <w:bCs/>
          <w:color w:val="000000" w:themeColor="text1"/>
          <w:sz w:val="24"/>
          <w:szCs w:val="28"/>
          <w:lang w:val="en-US" w:eastAsia="zh-CN"/>
          <w14:textFill>
            <w14:solidFill>
              <w14:schemeClr w14:val="tx1"/>
            </w14:solidFill>
          </w14:textFill>
        </w:rPr>
        <w:t>议题 ：</w:t>
      </w:r>
      <w:r>
        <w:rPr>
          <w:rFonts w:hint="eastAsia" w:ascii="仿宋" w:hAnsi="仿宋" w:eastAsia="仿宋" w:cs="仿宋"/>
          <w:b/>
          <w:bCs/>
          <w:color w:val="1F2DA8"/>
          <w:lang w:val="en-US" w:eastAsia="zh-CN"/>
        </w:rPr>
        <w:t>观看视频议一议</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0" w:leftChars="0" w:hanging="420" w:firstLine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视频中能够直接看到的文化体系有几种？</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0" w:leftChars="0" w:hanging="420" w:firstLine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敦煌为何从边陲沙漠小城一跃为文化重镇？</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0" w:leftChars="0" w:hanging="420" w:firstLine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敦煌的历史在全球化的今天有何启示？</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视频从佛祖的雕塑讲起。最开始的时候，由于释迦摩尼不主张设立偶像，所以，佛祖圆寂后，他并没有雕塑流传于世。后来希腊入侵东方，所希腊的雕刻艺术传到了印度，印度的佛教徒按照自己心目中圣人的形象雕刻了佛祖的具体形象。在这里，我们可以看到，最初的佛祖雕像带有明显的希腊风格，这就是文化交流的结果。</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后来，印度佛教徒结合他们修行的石窟和巨大的石像，创立了石窟艺术。这种艺术通过丝绸之路经中国和印度的佛教信徒得以传到敦煌。敦煌因此从一个默默无闻的沙漠小城一跃成为多种文明交流的艺术中心。各种文化，求同存异、取长补短，在交流借鉴中创新发展。</w:t>
      </w:r>
      <w:r>
        <w:rPr>
          <w:rFonts w:hint="eastAsia" w:ascii="楷体" w:hAnsi="楷体" w:eastAsia="楷体" w:cs="楷体"/>
          <w:sz w:val="24"/>
          <w:szCs w:val="32"/>
          <w:lang w:val="en-US" w:eastAsia="zh-CN"/>
        </w:rPr>
        <w:t>这说明文化交流构成文化发展的重要动力。也解释了</w:t>
      </w:r>
      <w:r>
        <w:rPr>
          <w:rFonts w:hint="eastAsia" w:ascii="仿宋" w:hAnsi="仿宋" w:eastAsia="仿宋" w:cs="仿宋"/>
          <w:b/>
          <w:bCs/>
          <w:color w:val="auto"/>
          <w:sz w:val="24"/>
          <w:szCs w:val="24"/>
          <w:lang w:val="en-US" w:eastAsia="zh-CN"/>
        </w:rPr>
        <w:t>敦煌为何从边陲沙漠小城一跃为文化重镇。</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default"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这里要结合课本小字做一下拓展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楷体" w:hAnsi="楷体" w:eastAsia="楷体" w:cs="楷体"/>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古时候，无论是东来西去，600多公里的路上，只有一个敦煌可以补充饮水和给养，为接下来的行程做足准备。当滞留在敦煌的商人和货物越来越多，作为丝绸之路交通枢纽的敦煌，逐渐走向繁华。</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伴随着贸易而来的，除了各种肤色的人群、各色各样的商品，还有不同的宗教、语言、音乐、舞蹈、绘画、雕塑和生产技术，敦煌成为东西方文明碰撞交融、和谐共生的乐土。</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楷体" w:hAnsi="楷体" w:eastAsia="楷体" w:cs="楷体"/>
          <w:color w:val="FF0000"/>
          <w:sz w:val="24"/>
          <w:szCs w:val="32"/>
          <w:lang w:val="en-US" w:eastAsia="zh-CN"/>
        </w:rPr>
      </w:pPr>
      <w:r>
        <w:rPr>
          <w:rFonts w:hint="eastAsia" w:ascii="仿宋" w:hAnsi="仿宋" w:eastAsia="仿宋" w:cs="仿宋"/>
          <w:b/>
          <w:bCs/>
          <w:color w:val="auto"/>
          <w:sz w:val="24"/>
          <w:szCs w:val="24"/>
          <w:lang w:val="en-US" w:eastAsia="zh-CN"/>
        </w:rPr>
        <w:t>从中我们可以拓展知识：</w:t>
      </w:r>
      <w:r>
        <w:rPr>
          <w:rFonts w:hint="eastAsia" w:ascii="楷体" w:hAnsi="楷体" w:eastAsia="楷体" w:cs="楷体"/>
          <w:color w:val="FF0000"/>
          <w:sz w:val="24"/>
          <w:szCs w:val="32"/>
          <w:lang w:val="en-US" w:eastAsia="zh-CN"/>
        </w:rPr>
        <w:t>文化交流传播的途径：商业贸易、人口迁徙、教育及各种各样的经济政治文化活动。</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经济全球化的今天，中国承接敦煌的丝路文化传承，提出了“一带一路”的国家级顶层合作倡议。</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楷体" w:hAnsi="楷体" w:eastAsia="楷体" w:cs="楷体"/>
          <w:sz w:val="24"/>
          <w:szCs w:val="32"/>
          <w:lang w:val="en-US" w:eastAsia="zh-CN"/>
        </w:rPr>
      </w:pPr>
      <w:r>
        <w:rPr>
          <w:rFonts w:hint="eastAsia" w:ascii="仿宋" w:hAnsi="仿宋" w:eastAsia="仿宋" w:cs="仿宋"/>
          <w:b/>
          <w:bCs/>
          <w:color w:val="auto"/>
          <w:sz w:val="24"/>
          <w:szCs w:val="24"/>
          <w:lang w:val="en-US" w:eastAsia="zh-CN"/>
        </w:rPr>
        <w:t>这启示我们：</w:t>
      </w:r>
      <w:r>
        <w:rPr>
          <w:rFonts w:hint="eastAsia" w:ascii="楷体" w:hAnsi="楷体" w:eastAsia="楷体" w:cs="楷体"/>
          <w:color w:val="FF0000"/>
          <w:sz w:val="24"/>
          <w:szCs w:val="32"/>
          <w:lang w:val="en-US" w:eastAsia="zh-CN"/>
        </w:rPr>
        <w:t>要坚持维护各国民族文化多样性，交流互鉴，而不应该相互隔膜、排斥取代。这样世界文明之园才能万紫千红、生机盎然。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楷体" w:hAnsi="楷体" w:eastAsia="楷体" w:cs="楷体"/>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微软雅黑" w:hAnsi="微软雅黑" w:eastAsia="微软雅黑" w:cstheme="minorBidi"/>
          <w:b/>
          <w:bCs/>
          <w:color w:val="0000FF"/>
          <w:kern w:val="2"/>
          <w:sz w:val="28"/>
          <w:szCs w:val="36"/>
          <w:lang w:val="en-US" w:eastAsia="zh-CN" w:bidi="ar-SA"/>
        </w:rPr>
      </w:pPr>
      <w:r>
        <w:rPr>
          <w:rFonts w:hint="eastAsia" w:ascii="微软雅黑" w:hAnsi="微软雅黑" w:eastAsia="微软雅黑" w:cstheme="minorBidi"/>
          <w:b/>
          <w:bCs/>
          <w:color w:val="0000FF"/>
          <w:kern w:val="2"/>
          <w:sz w:val="28"/>
          <w:szCs w:val="36"/>
          <w:lang w:val="en-US" w:eastAsia="zh-CN" w:bidi="ar-SA"/>
        </w:rPr>
        <w:t>二、议题二：敦煌，又因何而“煌”——文化交融与文化发展</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楷体" w:hAnsi="楷体" w:eastAsia="楷体" w:cs="楷体"/>
          <w:b/>
          <w:bCs/>
          <w:color w:val="000000" w:themeColor="text1"/>
          <w:sz w:val="24"/>
          <w:szCs w:val="28"/>
          <w:lang w:val="en-US" w:eastAsia="zh-CN"/>
          <w14:textFill>
            <w14:solidFill>
              <w14:schemeClr w14:val="tx1"/>
            </w14:solidFill>
          </w14:textFill>
        </w:rPr>
      </w:pPr>
      <w:r>
        <w:rPr>
          <w:rFonts w:hint="eastAsia" w:ascii="楷体" w:hAnsi="楷体" w:eastAsia="楷体" w:cs="楷体"/>
          <w:b/>
          <w:bCs/>
          <w:color w:val="000000" w:themeColor="text1"/>
          <w:sz w:val="24"/>
          <w:szCs w:val="28"/>
          <w:lang w:val="en-US" w:eastAsia="zh-CN"/>
          <w14:textFill>
            <w14:solidFill>
              <w14:schemeClr w14:val="tx1"/>
            </w14:solidFill>
          </w14:textFill>
        </w:rPr>
        <w:t>播放视频《盛唐的文化交融》，提出</w:t>
      </w:r>
      <w:r>
        <w:rPr>
          <w:rFonts w:hint="eastAsia" w:ascii="楷体" w:hAnsi="楷体" w:eastAsia="楷体" w:cs="楷体"/>
          <w:b/>
          <w:bCs/>
          <w:color w:val="FF0000"/>
          <w:sz w:val="24"/>
          <w:szCs w:val="28"/>
          <w:lang w:val="en-US" w:eastAsia="zh-CN"/>
        </w:rPr>
        <w:t>具体</w:t>
      </w:r>
      <w:r>
        <w:rPr>
          <w:rFonts w:hint="eastAsia" w:ascii="楷体" w:hAnsi="楷体" w:eastAsia="楷体" w:cs="楷体"/>
          <w:b/>
          <w:bCs/>
          <w:color w:val="000000" w:themeColor="text1"/>
          <w:sz w:val="24"/>
          <w:szCs w:val="28"/>
          <w:lang w:val="en-US" w:eastAsia="zh-CN"/>
          <w14:textFill>
            <w14:solidFill>
              <w14:schemeClr w14:val="tx1"/>
            </w14:solidFill>
          </w14:textFill>
        </w:rPr>
        <w:t>议题 ：</w:t>
      </w:r>
    </w:p>
    <w:p>
      <w:pPr>
        <w:pStyle w:val="4"/>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240" w:lineRule="auto"/>
        <w:ind w:left="420" w:leftChars="0" w:hanging="420" w:firstLineChars="0"/>
        <w:jc w:val="both"/>
        <w:textAlignment w:val="auto"/>
        <w:rPr>
          <w:rFonts w:hint="eastAsia" w:ascii="仿宋" w:hAnsi="仿宋" w:eastAsia="仿宋" w:cs="仿宋"/>
          <w:b/>
          <w:bCs/>
          <w:color w:val="1F2DA8"/>
          <w:lang w:val="en-US" w:eastAsia="zh-CN"/>
        </w:rPr>
      </w:pPr>
      <w:r>
        <w:rPr>
          <w:rFonts w:hint="eastAsia" w:ascii="仿宋" w:hAnsi="仿宋" w:eastAsia="仿宋" w:cs="仿宋"/>
          <w:b/>
          <w:bCs/>
          <w:color w:val="1F2DA8"/>
          <w:lang w:val="en-US" w:eastAsia="zh-CN"/>
        </w:rPr>
        <w:t>敦煌莫高窟为何能成为人类艺术史上的一坐巅峰？</w:t>
      </w:r>
    </w:p>
    <w:p>
      <w:pPr>
        <w:pStyle w:val="4"/>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240" w:lineRule="auto"/>
        <w:ind w:left="420" w:leftChars="0" w:hanging="420" w:firstLineChars="0"/>
        <w:jc w:val="both"/>
        <w:textAlignment w:val="auto"/>
        <w:rPr>
          <w:rFonts w:hint="eastAsia" w:ascii="仿宋" w:hAnsi="仿宋" w:eastAsia="仿宋" w:cs="仿宋"/>
          <w:b/>
          <w:bCs/>
          <w:color w:val="1F2DA8"/>
          <w:lang w:val="en-US" w:eastAsia="zh-CN"/>
        </w:rPr>
      </w:pPr>
      <w:r>
        <w:rPr>
          <w:rFonts w:hint="eastAsia" w:ascii="仿宋" w:hAnsi="仿宋" w:eastAsia="仿宋" w:cs="仿宋"/>
          <w:b/>
          <w:bCs/>
          <w:color w:val="1F2DA8"/>
          <w:lang w:val="en-US" w:eastAsia="zh-CN"/>
        </w:rPr>
        <w:t>这对今天的文化发展有何启示？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b w:val="0"/>
          <w:bCs w:val="0"/>
          <w:color w:val="FF0000"/>
          <w:sz w:val="24"/>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视频介绍了从十六国开始，敦煌就成了各种文明交流的中心，借助石窟艺术，各种文化交流碰撞，形成了一种独特的文化形式。这种形式，经北凉传给北魏，再由北魏传承给隋唐。到了盛唐时期，在武则天利用佛教加强统治的历史背景下，石窟艺术在敦煌得以繁盛，并出现回流现象。石窟艺术，不再是西亚和印度风格为主，而是融合了中原艺术，具有中原人间烟火气，这标志着石窟艺术完成了中西融合，形成独特的中国风格石窟艺术。</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这充分说明，</w:t>
      </w:r>
      <w:r>
        <w:rPr>
          <w:rFonts w:hint="eastAsia" w:ascii="楷体" w:hAnsi="楷体" w:eastAsia="楷体" w:cs="楷体"/>
          <w:b/>
          <w:bCs/>
          <w:color w:val="FF0000"/>
          <w:sz w:val="24"/>
          <w:szCs w:val="28"/>
          <w:lang w:val="en-US" w:eastAsia="zh-CN"/>
        </w:rPr>
        <w:t>文化交融推动文化发展，文化因交流而多彩，因交融而丰富</w:t>
      </w:r>
      <w:r>
        <w:rPr>
          <w:rFonts w:hint="eastAsia" w:ascii="仿宋" w:hAnsi="仿宋" w:eastAsia="仿宋" w:cs="仿宋"/>
          <w:b/>
          <w:bCs/>
          <w:color w:val="auto"/>
          <w:sz w:val="24"/>
          <w:szCs w:val="24"/>
          <w:lang w:val="en-US" w:eastAsia="zh-CN"/>
        </w:rPr>
        <w:t>。同时我们也可以看出，敦煌石窟艺术，是融合各民族文化的成果，所以，文化即是民族的，也是世界的。</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default" w:ascii="仿宋" w:hAnsi="仿宋" w:eastAsia="仿宋" w:cs="仿宋"/>
          <w:b/>
          <w:bCs/>
          <w:color w:val="auto"/>
          <w:sz w:val="24"/>
          <w:szCs w:val="24"/>
          <w:lang w:val="en-US" w:eastAsia="zh-CN"/>
        </w:rPr>
      </w:pPr>
      <w:r>
        <w:rPr>
          <w:rFonts w:hint="default" w:ascii="仿宋" w:hAnsi="仿宋" w:eastAsia="仿宋" w:cs="仿宋"/>
          <w:b/>
          <w:bCs/>
          <w:color w:val="auto"/>
          <w:sz w:val="24"/>
          <w:szCs w:val="24"/>
          <w:lang w:val="en-US" w:eastAsia="zh-CN"/>
        </w:rPr>
        <w:t>历史告诉我们，通过文化交融，相互借鉴，增强本国本民族的文化自尊、自信、自立，也为世界文化发展繁荣作出了贡献。</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default" w:ascii="楷体" w:hAnsi="楷体" w:eastAsia="楷体" w:cs="楷体"/>
          <w:b/>
          <w:bCs/>
          <w:color w:val="000000" w:themeColor="text1"/>
          <w:sz w:val="24"/>
          <w:szCs w:val="28"/>
          <w:lang w:val="en-US" w:eastAsia="zh-CN"/>
          <w14:textFill>
            <w14:solidFill>
              <w14:schemeClr w14:val="tx1"/>
            </w14:solidFill>
          </w14:textFill>
        </w:rPr>
      </w:pPr>
      <w:r>
        <w:rPr>
          <w:rFonts w:hint="default" w:ascii="楷体" w:hAnsi="楷体" w:eastAsia="楷体" w:cs="楷体"/>
          <w:b/>
          <w:bCs/>
          <w:color w:val="000000" w:themeColor="text1"/>
          <w:sz w:val="24"/>
          <w:szCs w:val="28"/>
          <w:lang w:val="en-US" w:eastAsia="zh-CN"/>
          <w14:textFill>
            <w14:solidFill>
              <w14:schemeClr w14:val="tx1"/>
            </w14:solidFill>
          </w14:textFill>
        </w:rPr>
        <w:t>因此，</w:t>
      </w:r>
      <w:r>
        <w:rPr>
          <w:rFonts w:hint="default" w:ascii="楷体" w:hAnsi="楷体" w:eastAsia="楷体" w:cs="楷体"/>
          <w:b/>
          <w:bCs/>
          <w:color w:val="FF0000"/>
          <w:sz w:val="24"/>
          <w:szCs w:val="28"/>
          <w:lang w:val="en-US" w:eastAsia="zh-CN"/>
        </w:rPr>
        <w:t>推进人类文化交融，是让世界变得更加美丽、各国人民生活更加美好的必由之路</w:t>
      </w:r>
      <w:r>
        <w:rPr>
          <w:rFonts w:hint="default" w:ascii="楷体" w:hAnsi="楷体" w:eastAsia="楷体" w:cs="楷体"/>
          <w:b/>
          <w:bCs/>
          <w:color w:val="000000" w:themeColor="text1"/>
          <w:sz w:val="24"/>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default" w:ascii="楷体" w:hAnsi="楷体" w:eastAsia="楷体" w:cs="楷体"/>
          <w:b/>
          <w:bCs/>
          <w:color w:val="000000" w:themeColor="text1"/>
          <w:sz w:val="24"/>
          <w:szCs w:val="28"/>
          <w:lang w:val="en-US" w:eastAsia="zh-CN"/>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2" w:firstLineChars="200"/>
        <w:jc w:val="both"/>
        <w:textAlignment w:val="auto"/>
        <w:rPr>
          <w:rFonts w:hint="default" w:ascii="仿宋" w:hAnsi="仿宋" w:eastAsia="仿宋" w:cs="仿宋"/>
          <w:b/>
          <w:bCs/>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ascii="微软雅黑" w:hAnsi="微软雅黑" w:eastAsia="微软雅黑" w:cs="微软雅黑"/>
          <w:b/>
          <w:bCs/>
          <w:color w:val="C00000"/>
          <w:sz w:val="32"/>
          <w:szCs w:val="40"/>
        </w:rPr>
      </w:pPr>
      <w:r>
        <w:rPr>
          <w:rFonts w:hint="eastAsia" w:ascii="微软雅黑" w:hAnsi="微软雅黑" w:eastAsia="微软雅黑" w:cs="微软雅黑"/>
          <w:b/>
          <w:bCs/>
          <w:color w:val="C00000"/>
          <w:sz w:val="32"/>
          <w:szCs w:val="40"/>
          <w:lang w:val="en-US" w:eastAsia="zh-CN"/>
        </w:rPr>
        <w:t>知识总结</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2" w:firstLineChars="200"/>
        <w:jc w:val="both"/>
        <w:textAlignment w:val="auto"/>
        <w:rPr>
          <w:rFonts w:hint="default" w:ascii="仿宋" w:hAnsi="仿宋" w:eastAsia="仿宋" w:cs="仿宋"/>
          <w:b/>
          <w:bCs/>
          <w:lang w:val="en-US" w:eastAsia="zh-CN"/>
        </w:rPr>
      </w:pPr>
      <w:r>
        <w:rPr>
          <w:rFonts w:hint="eastAsia" w:ascii="仿宋" w:hAnsi="仿宋" w:eastAsia="仿宋" w:cs="仿宋"/>
          <w:b/>
          <w:bCs/>
          <w:lang w:val="en-US" w:eastAsia="zh-CN"/>
        </w:rPr>
        <w:t>（见课件）</w:t>
      </w:r>
    </w:p>
    <w:p>
      <w:pPr>
        <w:pStyle w:val="4"/>
        <w:widowControl/>
        <w:spacing w:before="0" w:beforeAutospacing="0" w:after="0" w:afterAutospacing="0"/>
        <w:ind w:firstLine="482" w:firstLineChars="200"/>
        <w:jc w:val="both"/>
        <w:rPr>
          <w:rFonts w:hint="eastAsia" w:ascii="仿宋" w:hAnsi="仿宋" w:eastAsia="仿宋" w:cs="仿宋"/>
          <w:b/>
          <w:bCs/>
          <w:color w:val="FF0000"/>
        </w:rPr>
      </w:pPr>
      <w:r>
        <w:rPr>
          <w:rFonts w:hint="eastAsia" w:ascii="仿宋" w:hAnsi="仿宋" w:eastAsia="仿宋" w:cs="仿宋"/>
          <w:b/>
          <w:bCs/>
          <w:color w:val="FF0000"/>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字体管家版宋">
    <w:altName w:val="宋体"/>
    <w:panose1 w:val="00020600040101010101"/>
    <w:charset w:val="86"/>
    <w:family w:val="auto"/>
    <w:pitch w:val="default"/>
    <w:sig w:usb0="00000000" w:usb1="00000000" w:usb2="00000016"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2E4F7"/>
    <w:multiLevelType w:val="singleLevel"/>
    <w:tmpl w:val="8142E4F7"/>
    <w:lvl w:ilvl="0" w:tentative="0">
      <w:start w:val="1"/>
      <w:numFmt w:val="bullet"/>
      <w:lvlText w:val=""/>
      <w:lvlJc w:val="left"/>
      <w:pPr>
        <w:ind w:left="420" w:hanging="420"/>
      </w:pPr>
      <w:rPr>
        <w:rFonts w:hint="default" w:ascii="Wingdings" w:hAnsi="Wingdings"/>
      </w:rPr>
    </w:lvl>
  </w:abstractNum>
  <w:abstractNum w:abstractNumId="1">
    <w:nsid w:val="920A492A"/>
    <w:multiLevelType w:val="singleLevel"/>
    <w:tmpl w:val="920A492A"/>
    <w:lvl w:ilvl="0" w:tentative="0">
      <w:start w:val="1"/>
      <w:numFmt w:val="bullet"/>
      <w:lvlText w:val=""/>
      <w:lvlJc w:val="left"/>
      <w:pPr>
        <w:tabs>
          <w:tab w:val="left" w:pos="420"/>
        </w:tabs>
        <w:ind w:left="840" w:hanging="420"/>
      </w:pPr>
      <w:rPr>
        <w:rFonts w:hint="default" w:ascii="Wingdings" w:hAnsi="Wingdings"/>
      </w:rPr>
    </w:lvl>
  </w:abstractNum>
  <w:abstractNum w:abstractNumId="2">
    <w:nsid w:val="105739EB"/>
    <w:multiLevelType w:val="singleLevel"/>
    <w:tmpl w:val="105739EB"/>
    <w:lvl w:ilvl="0" w:tentative="0">
      <w:start w:val="1"/>
      <w:numFmt w:val="chineseCounting"/>
      <w:suff w:val="nothing"/>
      <w:lvlText w:val="%1、"/>
      <w:lvlJc w:val="left"/>
      <w:pPr>
        <w:ind w:left="5" w:firstLine="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98D"/>
    <w:rsid w:val="00014909"/>
    <w:rsid w:val="00025C5E"/>
    <w:rsid w:val="000304A5"/>
    <w:rsid w:val="0003655F"/>
    <w:rsid w:val="00041F3A"/>
    <w:rsid w:val="000D7C15"/>
    <w:rsid w:val="000E3B84"/>
    <w:rsid w:val="000E60EA"/>
    <w:rsid w:val="00105D12"/>
    <w:rsid w:val="00164618"/>
    <w:rsid w:val="00193513"/>
    <w:rsid w:val="001B6275"/>
    <w:rsid w:val="001F08B7"/>
    <w:rsid w:val="00211009"/>
    <w:rsid w:val="0024681E"/>
    <w:rsid w:val="0027462C"/>
    <w:rsid w:val="0029005B"/>
    <w:rsid w:val="002D4619"/>
    <w:rsid w:val="002E7976"/>
    <w:rsid w:val="00353917"/>
    <w:rsid w:val="00374195"/>
    <w:rsid w:val="003938F4"/>
    <w:rsid w:val="0039500B"/>
    <w:rsid w:val="003A769F"/>
    <w:rsid w:val="003B5921"/>
    <w:rsid w:val="003B6A67"/>
    <w:rsid w:val="003B7B2D"/>
    <w:rsid w:val="003C72A6"/>
    <w:rsid w:val="0041132F"/>
    <w:rsid w:val="00454F0F"/>
    <w:rsid w:val="00463666"/>
    <w:rsid w:val="00474975"/>
    <w:rsid w:val="004B63A0"/>
    <w:rsid w:val="004C47A3"/>
    <w:rsid w:val="004D6BFD"/>
    <w:rsid w:val="004F2107"/>
    <w:rsid w:val="004F25C6"/>
    <w:rsid w:val="00527AF6"/>
    <w:rsid w:val="005410A7"/>
    <w:rsid w:val="00584E27"/>
    <w:rsid w:val="00597BCD"/>
    <w:rsid w:val="00617AEB"/>
    <w:rsid w:val="00621E15"/>
    <w:rsid w:val="006242FA"/>
    <w:rsid w:val="0065236E"/>
    <w:rsid w:val="0068140F"/>
    <w:rsid w:val="006822B3"/>
    <w:rsid w:val="006A4483"/>
    <w:rsid w:val="006B251E"/>
    <w:rsid w:val="006F0C50"/>
    <w:rsid w:val="0070165F"/>
    <w:rsid w:val="007049FD"/>
    <w:rsid w:val="00762016"/>
    <w:rsid w:val="00764209"/>
    <w:rsid w:val="00785CEB"/>
    <w:rsid w:val="007974FA"/>
    <w:rsid w:val="007A2B07"/>
    <w:rsid w:val="00813324"/>
    <w:rsid w:val="0085020D"/>
    <w:rsid w:val="0085096D"/>
    <w:rsid w:val="00851446"/>
    <w:rsid w:val="008A0F7C"/>
    <w:rsid w:val="008A2A1B"/>
    <w:rsid w:val="008A41F2"/>
    <w:rsid w:val="008D5097"/>
    <w:rsid w:val="008E0865"/>
    <w:rsid w:val="00952B0A"/>
    <w:rsid w:val="009762CC"/>
    <w:rsid w:val="009A3706"/>
    <w:rsid w:val="009C7E35"/>
    <w:rsid w:val="009D6645"/>
    <w:rsid w:val="00A06EF2"/>
    <w:rsid w:val="00A26571"/>
    <w:rsid w:val="00A273CA"/>
    <w:rsid w:val="00AB4B7A"/>
    <w:rsid w:val="00AC40EC"/>
    <w:rsid w:val="00AF5743"/>
    <w:rsid w:val="00AF5798"/>
    <w:rsid w:val="00B05B36"/>
    <w:rsid w:val="00B2040A"/>
    <w:rsid w:val="00B43415"/>
    <w:rsid w:val="00B5098D"/>
    <w:rsid w:val="00B77796"/>
    <w:rsid w:val="00BB699A"/>
    <w:rsid w:val="00BC4954"/>
    <w:rsid w:val="00BD4667"/>
    <w:rsid w:val="00BE7565"/>
    <w:rsid w:val="00C0039D"/>
    <w:rsid w:val="00C260CE"/>
    <w:rsid w:val="00C3462E"/>
    <w:rsid w:val="00C87698"/>
    <w:rsid w:val="00CB29DD"/>
    <w:rsid w:val="00CD4142"/>
    <w:rsid w:val="00D153E9"/>
    <w:rsid w:val="00D37B33"/>
    <w:rsid w:val="00D70889"/>
    <w:rsid w:val="00D77E19"/>
    <w:rsid w:val="00D807A1"/>
    <w:rsid w:val="00D91778"/>
    <w:rsid w:val="00D922B5"/>
    <w:rsid w:val="00DB32F7"/>
    <w:rsid w:val="00DE09F7"/>
    <w:rsid w:val="00E12D50"/>
    <w:rsid w:val="00E41583"/>
    <w:rsid w:val="00E640BF"/>
    <w:rsid w:val="00EA7AE9"/>
    <w:rsid w:val="00EB4D55"/>
    <w:rsid w:val="00EC3E26"/>
    <w:rsid w:val="00F20A3A"/>
    <w:rsid w:val="00F84337"/>
    <w:rsid w:val="00FA65EA"/>
    <w:rsid w:val="00FB2DBB"/>
    <w:rsid w:val="00FC0091"/>
    <w:rsid w:val="00FD2041"/>
    <w:rsid w:val="00FD7CDF"/>
    <w:rsid w:val="00FF2DBD"/>
    <w:rsid w:val="175440B4"/>
    <w:rsid w:val="17EA7137"/>
    <w:rsid w:val="1B1F2BE9"/>
    <w:rsid w:val="1B4745B2"/>
    <w:rsid w:val="1D004D7E"/>
    <w:rsid w:val="1D032378"/>
    <w:rsid w:val="20746B16"/>
    <w:rsid w:val="32D740C2"/>
    <w:rsid w:val="350F4E16"/>
    <w:rsid w:val="431444E7"/>
    <w:rsid w:val="50275284"/>
    <w:rsid w:val="507E2638"/>
    <w:rsid w:val="57EA7002"/>
    <w:rsid w:val="65273883"/>
    <w:rsid w:val="71121AF3"/>
    <w:rsid w:val="71C00B88"/>
    <w:rsid w:val="7E242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paragraph" w:styleId="7">
    <w:name w:val="List Paragraph"/>
    <w:basedOn w:val="1"/>
    <w:qFormat/>
    <w:uiPriority w:val="34"/>
    <w:pPr>
      <w:ind w:firstLine="420" w:firstLineChars="200"/>
    </w:pPr>
  </w:style>
  <w:style w:type="character" w:customStyle="1" w:styleId="8">
    <w:name w:val="bjh-p"/>
    <w:basedOn w:val="6"/>
    <w:qFormat/>
    <w:uiPriority w:val="0"/>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Co.Ltd</Company>
  <Pages>3</Pages>
  <Words>372</Words>
  <Characters>2122</Characters>
  <Lines>17</Lines>
  <Paragraphs>4</Paragraphs>
  <TotalTime>11</TotalTime>
  <ScaleCrop>false</ScaleCrop>
  <LinksUpToDate>false</LinksUpToDate>
  <CharactersWithSpaces>2490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2018-05-12T05:00:00Z</dcterms:created>
  <dc:creator>yinping</dc:creator>
  <cp:lastModifiedBy>风一样的女子sky</cp:lastModifiedBy>
  <dcterms:modified xsi:type="dcterms:W3CDTF">2021-10-21T06:45:19Z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AE632D1778BC47369643CD3D2D0EF335</vt:lpwstr>
  </property>
</Properties>
</file>