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hint="eastAsia" w:ascii="宋体" w:hAnsi="宋体"/>
          <w:b/>
          <w:sz w:val="28"/>
          <w:szCs w:val="28"/>
        </w:rPr>
        <w:t>20</w:t>
      </w:r>
      <w:r>
        <w:rPr>
          <w:rFonts w:hint="eastAsia" w:ascii="宋体" w:hAnsi="宋体"/>
          <w:b/>
          <w:sz w:val="28"/>
          <w:szCs w:val="28"/>
          <w:lang w:val="en-US" w:eastAsia="zh-CN"/>
        </w:rPr>
        <w:t>20</w:t>
      </w:r>
      <w:r>
        <w:rPr>
          <w:rFonts w:hint="eastAsia" w:ascii="宋体" w:hAnsi="宋体"/>
          <w:b/>
          <w:sz w:val="28"/>
          <w:szCs w:val="28"/>
        </w:rPr>
        <w:t>—202</w:t>
      </w:r>
      <w:r>
        <w:rPr>
          <w:rFonts w:hint="eastAsia" w:ascii="宋体" w:hAnsi="宋体"/>
          <w:b/>
          <w:sz w:val="28"/>
          <w:szCs w:val="28"/>
          <w:lang w:val="en-US" w:eastAsia="zh-CN"/>
        </w:rPr>
        <w:t>1</w:t>
      </w:r>
      <w:r>
        <w:rPr>
          <w:rFonts w:hint="eastAsia" w:ascii="宋体" w:hAnsi="宋体"/>
          <w:b/>
          <w:sz w:val="28"/>
          <w:szCs w:val="28"/>
        </w:rPr>
        <w:t>学年第二学期高</w:t>
      </w:r>
      <w:r>
        <w:rPr>
          <w:rFonts w:hint="eastAsia" w:ascii="宋体" w:hAnsi="宋体"/>
          <w:b/>
          <w:sz w:val="28"/>
          <w:szCs w:val="28"/>
          <w:lang w:val="en-US" w:eastAsia="zh-CN"/>
        </w:rPr>
        <w:t>三</w:t>
      </w:r>
      <w:r>
        <w:rPr>
          <w:rFonts w:hint="eastAsia" w:ascii="宋体" w:hAnsi="宋体"/>
          <w:b/>
          <w:sz w:val="28"/>
          <w:szCs w:val="28"/>
          <w:lang w:eastAsia="zh-CN"/>
        </w:rPr>
        <w:t>数学</w:t>
      </w:r>
      <w:bookmarkStart w:id="0" w:name="_GoBack"/>
      <w:bookmarkEnd w:id="0"/>
      <w:r>
        <w:rPr>
          <w:rFonts w:hint="eastAsia" w:ascii="宋体" w:hAnsi="宋体"/>
          <w:b/>
          <w:sz w:val="28"/>
          <w:szCs w:val="28"/>
        </w:rPr>
        <w:t>组工作计划及教学进度</w:t>
      </w:r>
    </w:p>
    <w:p>
      <w:pPr>
        <w:numPr>
          <w:ilvl w:val="0"/>
          <w:numId w:val="1"/>
        </w:num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指导思想</w:t>
      </w:r>
    </w:p>
    <w:p>
      <w:pPr>
        <w:widowControl w:val="0"/>
        <w:numPr>
          <w:ilvl w:val="0"/>
          <w:numId w:val="0"/>
        </w:numPr>
        <w:spacing w:line="360" w:lineRule="auto"/>
        <w:ind w:firstLine="42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以《普通高中数学课程标准》为引领，全面深化课程改革，落实立德树人根本任务，</w:t>
      </w:r>
      <w:r>
        <w:rPr>
          <w:rFonts w:hint="eastAsia" w:asciiTheme="minorEastAsia" w:hAnsiTheme="minorEastAsia" w:eastAsiaTheme="minorEastAsia" w:cstheme="minorEastAsia"/>
          <w:color w:val="333333"/>
          <w:sz w:val="24"/>
          <w:szCs w:val="24"/>
        </w:rPr>
        <w:t>根据学校新学期的</w:t>
      </w:r>
      <w:r>
        <w:rPr>
          <w:rFonts w:hint="eastAsia" w:asciiTheme="minorEastAsia" w:hAnsiTheme="minorEastAsia" w:eastAsiaTheme="minorEastAsia" w:cstheme="minorEastAsia"/>
          <w:color w:val="000000"/>
          <w:sz w:val="24"/>
          <w:szCs w:val="24"/>
        </w:rPr>
        <w:t>工作总目标：</w:t>
      </w:r>
      <w:r>
        <w:rPr>
          <w:rFonts w:hint="eastAsia" w:asciiTheme="minorEastAsia" w:hAnsiTheme="minorEastAsia" w:cstheme="minorEastAsia"/>
          <w:color w:val="000000"/>
          <w:sz w:val="24"/>
          <w:szCs w:val="24"/>
          <w:lang w:val="en-US" w:eastAsia="zh-CN"/>
        </w:rPr>
        <w:t>以目标凝聚学校发展合力</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cstheme="minorEastAsia"/>
          <w:color w:val="000000"/>
          <w:sz w:val="24"/>
          <w:szCs w:val="24"/>
          <w:lang w:val="en-US" w:eastAsia="zh-CN"/>
        </w:rPr>
        <w:t>抓研究提升教育教学能力</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sz w:val="24"/>
          <w:szCs w:val="24"/>
        </w:rPr>
        <w:t>本学期</w:t>
      </w:r>
      <w:r>
        <w:rPr>
          <w:rFonts w:hint="eastAsia" w:asciiTheme="minorEastAsia" w:hAnsiTheme="minorEastAsia" w:eastAsiaTheme="minorEastAsia" w:cstheme="minorEastAsia"/>
          <w:sz w:val="24"/>
          <w:szCs w:val="24"/>
          <w:lang w:val="en-US" w:eastAsia="zh-CN"/>
        </w:rPr>
        <w:t>教学工作</w:t>
      </w:r>
      <w:r>
        <w:rPr>
          <w:rFonts w:hint="eastAsia" w:asciiTheme="minorEastAsia" w:hAnsiTheme="minorEastAsia" w:eastAsiaTheme="minorEastAsia" w:cstheme="minorEastAsia"/>
          <w:sz w:val="24"/>
          <w:szCs w:val="24"/>
        </w:rPr>
        <w:t>将以</w:t>
      </w:r>
      <w:r>
        <w:rPr>
          <w:rFonts w:hint="eastAsia" w:asciiTheme="minorEastAsia" w:hAnsiTheme="minorEastAsia" w:cstheme="minorEastAsia"/>
          <w:sz w:val="24"/>
          <w:szCs w:val="24"/>
          <w:lang w:eastAsia="zh-CN"/>
        </w:rPr>
        <w:t>备课组建设为重点</w:t>
      </w:r>
      <w:r>
        <w:rPr>
          <w:rFonts w:hint="eastAsia" w:asciiTheme="minorEastAsia" w:hAnsiTheme="minorEastAsia" w:eastAsiaTheme="minorEastAsia" w:cstheme="minorEastAsia"/>
          <w:sz w:val="24"/>
          <w:szCs w:val="24"/>
        </w:rPr>
        <w:t>，更新教学观念，优化教学行为，提高课堂教学效率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落实教学常规，切实提高教学质量。以求真务实的态度，扎扎实实工作，认认真真</w:t>
      </w:r>
      <w:r>
        <w:rPr>
          <w:rFonts w:hint="eastAsia" w:asciiTheme="minorEastAsia" w:hAnsiTheme="minorEastAsia" w:cstheme="minorEastAsia"/>
          <w:sz w:val="24"/>
          <w:szCs w:val="24"/>
          <w:lang w:eastAsia="zh-CN"/>
        </w:rPr>
        <w:t>教学。</w:t>
      </w:r>
    </w:p>
    <w:p>
      <w:pPr>
        <w:numPr>
          <w:ilvl w:val="0"/>
          <w:numId w:val="1"/>
        </w:numPr>
        <w:spacing w:line="360" w:lineRule="auto"/>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主要目标</w:t>
      </w:r>
    </w:p>
    <w:p>
      <w:pPr>
        <w:widowControl w:val="0"/>
        <w:numPr>
          <w:ilvl w:val="0"/>
          <w:numId w:val="0"/>
        </w:numPr>
        <w:spacing w:line="360" w:lineRule="auto"/>
        <w:ind w:firstLine="420" w:firstLineChars="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学期的主要教学任务是数学二轮微专题复习和三轮的重点回顾以及查漏补缺；在一轮复习全面覆盖的基础上，进行知识的体系化融合，加强中档题的训练，提高学生的思维能力，进一步提升分析问题和解决问题的能力。通过复习，下午达到以下目标：</w:t>
      </w:r>
    </w:p>
    <w:p>
      <w:pPr>
        <w:widowControl w:val="0"/>
        <w:numPr>
          <w:ilvl w:val="0"/>
          <w:numId w:val="2"/>
        </w:numPr>
        <w:spacing w:line="360" w:lineRule="auto"/>
        <w:ind w:firstLine="420" w:firstLineChars="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抢抓限时练习，并能逐步提升均分；</w:t>
      </w:r>
    </w:p>
    <w:p>
      <w:pPr>
        <w:widowControl w:val="0"/>
        <w:numPr>
          <w:ilvl w:val="0"/>
          <w:numId w:val="2"/>
        </w:numPr>
        <w:spacing w:line="360" w:lineRule="auto"/>
        <w:ind w:firstLine="420" w:firstLineChars="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研究新高考，适应新题型，提高学生的应试能力；</w:t>
      </w:r>
    </w:p>
    <w:p>
      <w:pPr>
        <w:widowControl w:val="0"/>
        <w:numPr>
          <w:ilvl w:val="0"/>
          <w:numId w:val="2"/>
        </w:numPr>
        <w:spacing w:line="360" w:lineRule="auto"/>
        <w:ind w:firstLine="420" w:firstLineChars="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梳理知识网络，总结解题方法，提高审题能力，规范答题要求，强化踩分意识，培养学生的应考能力；</w:t>
      </w:r>
    </w:p>
    <w:p>
      <w:pPr>
        <w:widowControl w:val="0"/>
        <w:numPr>
          <w:ilvl w:val="0"/>
          <w:numId w:val="2"/>
        </w:numPr>
        <w:spacing w:line="360" w:lineRule="auto"/>
        <w:ind w:firstLine="420" w:firstLineChars="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培养学生的阅读理解能力，克服文化题的畏惧心理。</w:t>
      </w:r>
    </w:p>
    <w:p>
      <w:pPr>
        <w:numPr>
          <w:ilvl w:val="0"/>
          <w:numId w:val="1"/>
        </w:numPr>
        <w:spacing w:line="360" w:lineRule="auto"/>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主要工作举措</w:t>
      </w:r>
    </w:p>
    <w:p>
      <w:pPr>
        <w:widowControl w:val="0"/>
        <w:numPr>
          <w:ilvl w:val="0"/>
          <w:numId w:val="0"/>
        </w:numPr>
        <w:spacing w:line="360" w:lineRule="auto"/>
        <w:ind w:firstLine="420" w:firstLineChars="0"/>
        <w:jc w:val="both"/>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为了达到上面的工作目标，备课组将采取以下工作举措：</w:t>
      </w:r>
    </w:p>
    <w:p>
      <w:pPr>
        <w:widowControl w:val="0"/>
        <w:numPr>
          <w:ilvl w:val="0"/>
          <w:numId w:val="3"/>
        </w:numPr>
        <w:spacing w:line="360" w:lineRule="auto"/>
        <w:ind w:firstLine="420" w:firstLineChars="0"/>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二轮专题复习：以“问题驱动”为理念，以“补齐短板”为主线，一“重点热点”为核心，主要从六个专题进行主题复习：三角函数与解三角形、数列、立体几何、概率统计、解析几何、函数与导数。</w:t>
      </w:r>
    </w:p>
    <w:p>
      <w:pPr>
        <w:widowControl w:val="0"/>
        <w:numPr>
          <w:ilvl w:val="0"/>
          <w:numId w:val="3"/>
        </w:numPr>
        <w:spacing w:line="360" w:lineRule="auto"/>
        <w:ind w:firstLine="420" w:firstLineChars="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基础小题热点专攻：集合复数常用逻辑用语、不等式、平面向量、排列组合二项式定理、数学文化。</w:t>
      </w:r>
    </w:p>
    <w:p>
      <w:pPr>
        <w:widowControl w:val="0"/>
        <w:numPr>
          <w:ilvl w:val="0"/>
          <w:numId w:val="3"/>
        </w:numPr>
        <w:spacing w:line="360" w:lineRule="auto"/>
        <w:ind w:firstLine="420" w:firstLineChars="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午练：前阶段以解答题专项练为主，循环 滚动练习，熟悉题型，规范解答，后期回归基础，小题限时练，提升信心。</w:t>
      </w:r>
    </w:p>
    <w:p>
      <w:pPr>
        <w:widowControl w:val="0"/>
        <w:numPr>
          <w:ilvl w:val="0"/>
          <w:numId w:val="3"/>
        </w:numPr>
        <w:spacing w:line="360" w:lineRule="auto"/>
        <w:ind w:firstLine="420" w:firstLineChars="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周周练：高考模拟卷，适应新形势，关注新变化，及时调整，及时落实。</w:t>
      </w:r>
    </w:p>
    <w:p>
      <w:pPr>
        <w:spacing w:line="360" w:lineRule="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为了以上工作，组内教师要做到以下几点：（1）认真研读高考评价体系，以便明确高考的命题指导思想、考查内容、试题类型等等。（2）认真研究八省联考、各地模拟试题，发现它们命题的特点、试题类型、考查的方式和能力要求等。（3）加强集体备课，统一教学案，搞好教学协作，充分发挥集体的力量，发扬公平竞争，取长补短，友好合作的精神，共同提高。（4）进一步展开组内推磨听课，老教师要上示范课,观摩课；年轻教师上展示课、研究课，本组老师必须全员参加。</w:t>
      </w:r>
    </w:p>
    <w:p>
      <w:pPr>
        <w:numPr>
          <w:ilvl w:val="0"/>
          <w:numId w:val="1"/>
        </w:numPr>
        <w:spacing w:line="360" w:lineRule="auto"/>
        <w:ind w:left="0" w:leftChars="0" w:firstLine="0" w:firstLineChars="0"/>
        <w:jc w:val="both"/>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计划安排</w:t>
      </w:r>
    </w:p>
    <w:p>
      <w:pPr>
        <w:numPr>
          <w:ilvl w:val="0"/>
          <w:numId w:val="0"/>
        </w:numPr>
        <w:rPr>
          <w:rFonts w:hint="eastAsia" w:asciiTheme="minorEastAsia" w:hAnsiTheme="minorEastAsia" w:cstheme="minorEastAsia"/>
          <w:sz w:val="24"/>
          <w:szCs w:val="24"/>
          <w:lang w:eastAsia="zh-CN"/>
        </w:rPr>
      </w:pPr>
      <w:r>
        <w:rPr>
          <w:rFonts w:hint="eastAsia"/>
          <w:sz w:val="24"/>
          <w:szCs w:val="24"/>
          <w:lang w:val="en-US" w:eastAsia="zh-CN"/>
        </w:rPr>
        <w:t>1、教学计划</w:t>
      </w:r>
    </w:p>
    <w:tbl>
      <w:tblPr>
        <w:tblStyle w:val="2"/>
        <w:tblpPr w:leftFromText="180" w:rightFromText="180" w:vertAnchor="text" w:horzAnchor="page" w:tblpX="1844" w:tblpY="96"/>
        <w:tblOverlap w:val="never"/>
        <w:tblW w:w="8280" w:type="dxa"/>
        <w:tblInd w:w="0" w:type="dxa"/>
        <w:tblLayout w:type="autofit"/>
        <w:tblCellMar>
          <w:top w:w="15" w:type="dxa"/>
          <w:left w:w="15" w:type="dxa"/>
          <w:bottom w:w="15" w:type="dxa"/>
          <w:right w:w="15" w:type="dxa"/>
        </w:tblCellMar>
      </w:tblPr>
      <w:tblGrid>
        <w:gridCol w:w="2700"/>
        <w:gridCol w:w="4056"/>
        <w:gridCol w:w="1524"/>
      </w:tblGrid>
      <w:tr>
        <w:tblPrEx>
          <w:tblCellMar>
            <w:top w:w="15" w:type="dxa"/>
            <w:left w:w="15" w:type="dxa"/>
            <w:bottom w:w="15" w:type="dxa"/>
            <w:right w:w="15" w:type="dxa"/>
          </w:tblCellMar>
        </w:tblPrEx>
        <w:trPr>
          <w:trHeight w:val="630" w:hRule="atLeast"/>
        </w:trPr>
        <w:tc>
          <w:tcPr>
            <w:tcW w:w="27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ind w:firstLine="240"/>
              <w:jc w:val="left"/>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b w:val="0"/>
                <w:bCs w:val="0"/>
                <w:kern w:val="0"/>
                <w:sz w:val="24"/>
                <w:szCs w:val="24"/>
              </w:rPr>
              <w:t>时 间</w:t>
            </w:r>
          </w:p>
        </w:tc>
        <w:tc>
          <w:tcPr>
            <w:tcW w:w="405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ind w:firstLine="360"/>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内 容</w:t>
            </w:r>
          </w:p>
        </w:tc>
        <w:tc>
          <w:tcPr>
            <w:tcW w:w="152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备课老师</w:t>
            </w:r>
          </w:p>
        </w:tc>
      </w:tr>
      <w:tr>
        <w:tblPrEx>
          <w:tblCellMar>
            <w:top w:w="15" w:type="dxa"/>
            <w:left w:w="15" w:type="dxa"/>
            <w:bottom w:w="15" w:type="dxa"/>
            <w:right w:w="15" w:type="dxa"/>
          </w:tblCellMar>
        </w:tblPrEx>
        <w:trPr>
          <w:trHeight w:val="583" w:hRule="atLeast"/>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第1周</w:t>
            </w:r>
          </w:p>
        </w:tc>
        <w:tc>
          <w:tcPr>
            <w:tcW w:w="405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南京市一模和试卷讲评</w:t>
            </w:r>
          </w:p>
        </w:tc>
        <w:tc>
          <w:tcPr>
            <w:tcW w:w="152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 xml:space="preserve">全组老师 </w:t>
            </w:r>
          </w:p>
        </w:tc>
      </w:tr>
      <w:tr>
        <w:tblPrEx>
          <w:tblCellMar>
            <w:top w:w="15" w:type="dxa"/>
            <w:left w:w="15" w:type="dxa"/>
            <w:bottom w:w="15" w:type="dxa"/>
            <w:right w:w="15" w:type="dxa"/>
          </w:tblCellMar>
        </w:tblPrEx>
        <w:trPr>
          <w:trHeight w:val="583" w:hRule="atLeast"/>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第</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rPr>
              <w:t>周</w:t>
            </w:r>
          </w:p>
        </w:tc>
        <w:tc>
          <w:tcPr>
            <w:tcW w:w="405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default" w:ascii="Helvetica" w:hAnsi="Helvetica" w:eastAsia="宋体" w:cs="宋体"/>
                <w:b w:val="0"/>
                <w:bCs w:val="0"/>
                <w:kern w:val="0"/>
                <w:szCs w:val="21"/>
                <w:lang w:val="en-US" w:eastAsia="zh-CN"/>
              </w:rPr>
            </w:pPr>
            <w:r>
              <w:rPr>
                <w:rFonts w:hint="eastAsia" w:ascii="宋体" w:hAnsi="宋体" w:eastAsia="宋体" w:cs="宋体"/>
                <w:b w:val="0"/>
                <w:bCs w:val="0"/>
                <w:kern w:val="0"/>
                <w:sz w:val="24"/>
                <w:szCs w:val="24"/>
                <w:lang w:eastAsia="zh-CN"/>
              </w:rPr>
              <w:t>专题一</w:t>
            </w:r>
            <w:r>
              <w:rPr>
                <w:rFonts w:hint="eastAsia" w:ascii="宋体" w:hAnsi="宋体" w:eastAsia="宋体" w:cs="宋体"/>
                <w:b w:val="0"/>
                <w:bCs w:val="0"/>
                <w:kern w:val="0"/>
                <w:sz w:val="24"/>
                <w:szCs w:val="24"/>
                <w:lang w:val="en-US" w:eastAsia="zh-CN"/>
              </w:rPr>
              <w:t xml:space="preserve"> 三角函数与解三角形</w:t>
            </w:r>
          </w:p>
        </w:tc>
        <w:tc>
          <w:tcPr>
            <w:tcW w:w="152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第</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周</w:t>
            </w:r>
          </w:p>
        </w:tc>
        <w:tc>
          <w:tcPr>
            <w:tcW w:w="405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eastAsia" w:ascii="Helvetica" w:hAnsi="Helvetica" w:eastAsia="宋体" w:cs="宋体"/>
                <w:b w:val="0"/>
                <w:bCs w:val="0"/>
                <w:kern w:val="0"/>
                <w:szCs w:val="21"/>
                <w:lang w:val="en-US" w:eastAsia="zh-CN"/>
              </w:rPr>
            </w:pPr>
            <w:r>
              <w:rPr>
                <w:rFonts w:hint="eastAsia" w:ascii="宋体" w:hAnsi="宋体" w:eastAsia="宋体" w:cs="宋体"/>
                <w:b w:val="0"/>
                <w:bCs w:val="0"/>
                <w:kern w:val="0"/>
                <w:sz w:val="24"/>
                <w:szCs w:val="24"/>
              </w:rPr>
              <w:t>专题二</w:t>
            </w:r>
            <w:r>
              <w:rPr>
                <w:rFonts w:hint="eastAsia" w:ascii="宋体" w:hAnsi="宋体" w:eastAsia="宋体" w:cs="宋体"/>
                <w:b w:val="0"/>
                <w:bCs w:val="0"/>
                <w:kern w:val="0"/>
                <w:sz w:val="24"/>
                <w:szCs w:val="24"/>
                <w:lang w:val="en-US" w:eastAsia="zh-CN"/>
              </w:rPr>
              <w:t xml:space="preserve"> 数列</w:t>
            </w:r>
          </w:p>
        </w:tc>
        <w:tc>
          <w:tcPr>
            <w:tcW w:w="152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第</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rPr>
              <w:t>周</w:t>
            </w:r>
          </w:p>
        </w:tc>
        <w:tc>
          <w:tcPr>
            <w:tcW w:w="405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eastAsia" w:ascii="Helvetica" w:hAnsi="Helvetica" w:eastAsia="宋体" w:cs="宋体"/>
                <w:b w:val="0"/>
                <w:bCs w:val="0"/>
                <w:kern w:val="0"/>
                <w:szCs w:val="21"/>
                <w:lang w:val="en-US" w:eastAsia="zh-CN"/>
              </w:rPr>
            </w:pPr>
            <w:r>
              <w:rPr>
                <w:rFonts w:hint="eastAsia" w:ascii="宋体" w:hAnsi="宋体" w:eastAsia="宋体" w:cs="宋体"/>
                <w:b w:val="0"/>
                <w:bCs w:val="0"/>
                <w:kern w:val="0"/>
                <w:sz w:val="24"/>
                <w:szCs w:val="24"/>
              </w:rPr>
              <w:t>专题三</w:t>
            </w:r>
            <w:r>
              <w:rPr>
                <w:rFonts w:hint="eastAsia" w:ascii="宋体" w:hAnsi="宋体" w:eastAsia="宋体" w:cs="宋体"/>
                <w:b w:val="0"/>
                <w:bCs w:val="0"/>
                <w:kern w:val="0"/>
                <w:sz w:val="24"/>
                <w:szCs w:val="24"/>
                <w:lang w:val="en-US" w:eastAsia="zh-CN"/>
              </w:rPr>
              <w:t xml:space="preserve"> 立体几何</w:t>
            </w:r>
          </w:p>
        </w:tc>
        <w:tc>
          <w:tcPr>
            <w:tcW w:w="152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第</w:t>
            </w:r>
            <w:r>
              <w:rPr>
                <w:rFonts w:hint="eastAsia" w:ascii="宋体" w:hAnsi="宋体" w:eastAsia="宋体" w:cs="宋体"/>
                <w:b w:val="0"/>
                <w:bCs w:val="0"/>
                <w:kern w:val="0"/>
                <w:sz w:val="24"/>
                <w:szCs w:val="24"/>
                <w:lang w:val="en-US" w:eastAsia="zh-CN"/>
              </w:rPr>
              <w:t>5</w:t>
            </w:r>
            <w:r>
              <w:rPr>
                <w:rFonts w:hint="eastAsia" w:ascii="宋体" w:hAnsi="宋体" w:eastAsia="宋体" w:cs="宋体"/>
                <w:b w:val="0"/>
                <w:bCs w:val="0"/>
                <w:kern w:val="0"/>
                <w:sz w:val="24"/>
                <w:szCs w:val="24"/>
              </w:rPr>
              <w:t>周</w:t>
            </w:r>
          </w:p>
        </w:tc>
        <w:tc>
          <w:tcPr>
            <w:tcW w:w="405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专题四</w:t>
            </w:r>
            <w:r>
              <w:rPr>
                <w:rFonts w:hint="eastAsia" w:ascii="宋体" w:hAnsi="宋体" w:eastAsia="宋体" w:cs="宋体"/>
                <w:b w:val="0"/>
                <w:bCs w:val="0"/>
                <w:kern w:val="0"/>
                <w:sz w:val="24"/>
                <w:szCs w:val="24"/>
                <w:lang w:val="en-US" w:eastAsia="zh-CN"/>
              </w:rPr>
              <w:t xml:space="preserve"> 概率与统计</w:t>
            </w:r>
          </w:p>
        </w:tc>
        <w:tc>
          <w:tcPr>
            <w:tcW w:w="152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第</w:t>
            </w: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rPr>
              <w:t>周</w:t>
            </w:r>
          </w:p>
        </w:tc>
        <w:tc>
          <w:tcPr>
            <w:tcW w:w="405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南京市二模及讲评</w:t>
            </w:r>
          </w:p>
        </w:tc>
        <w:tc>
          <w:tcPr>
            <w:tcW w:w="152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第</w:t>
            </w: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kern w:val="0"/>
                <w:sz w:val="24"/>
                <w:szCs w:val="24"/>
              </w:rPr>
              <w:t>周</w:t>
            </w:r>
          </w:p>
        </w:tc>
        <w:tc>
          <w:tcPr>
            <w:tcW w:w="405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eastAsia" w:ascii="Helvetica" w:hAnsi="Helvetica" w:eastAsia="宋体" w:cs="宋体"/>
                <w:b w:val="0"/>
                <w:bCs w:val="0"/>
                <w:kern w:val="0"/>
                <w:szCs w:val="21"/>
                <w:lang w:val="en-US" w:eastAsia="zh-CN"/>
              </w:rPr>
            </w:pPr>
            <w:r>
              <w:rPr>
                <w:rFonts w:hint="eastAsia" w:ascii="宋体" w:hAnsi="宋体" w:eastAsia="宋体" w:cs="宋体"/>
                <w:b w:val="0"/>
                <w:bCs w:val="0"/>
                <w:kern w:val="0"/>
                <w:sz w:val="24"/>
                <w:szCs w:val="24"/>
              </w:rPr>
              <w:t>专题五</w:t>
            </w:r>
            <w:r>
              <w:rPr>
                <w:rFonts w:hint="eastAsia" w:ascii="宋体" w:hAnsi="宋体" w:eastAsia="宋体" w:cs="宋体"/>
                <w:b w:val="0"/>
                <w:bCs w:val="0"/>
                <w:kern w:val="0"/>
                <w:sz w:val="24"/>
                <w:szCs w:val="24"/>
                <w:lang w:val="en-US" w:eastAsia="zh-CN"/>
              </w:rPr>
              <w:t xml:space="preserve"> 解析几何</w:t>
            </w:r>
          </w:p>
        </w:tc>
        <w:tc>
          <w:tcPr>
            <w:tcW w:w="152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第</w:t>
            </w:r>
            <w:r>
              <w:rPr>
                <w:rFonts w:hint="eastAsia" w:ascii="宋体" w:hAnsi="宋体" w:eastAsia="宋体" w:cs="宋体"/>
                <w:b w:val="0"/>
                <w:bCs w:val="0"/>
                <w:kern w:val="0"/>
                <w:sz w:val="24"/>
                <w:szCs w:val="24"/>
                <w:lang w:val="en-US" w:eastAsia="zh-CN"/>
              </w:rPr>
              <w:t>8</w:t>
            </w:r>
            <w:r>
              <w:rPr>
                <w:rFonts w:hint="eastAsia" w:ascii="宋体" w:hAnsi="宋体" w:eastAsia="宋体" w:cs="宋体"/>
                <w:b w:val="0"/>
                <w:bCs w:val="0"/>
                <w:kern w:val="0"/>
                <w:sz w:val="24"/>
                <w:szCs w:val="24"/>
              </w:rPr>
              <w:t>周</w:t>
            </w:r>
          </w:p>
        </w:tc>
        <w:tc>
          <w:tcPr>
            <w:tcW w:w="4056" w:type="dxa"/>
            <w:tcBorders>
              <w:top w:val="nil"/>
              <w:left w:val="nil"/>
              <w:bottom w:val="single" w:color="auto" w:sz="4"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eastAsia" w:ascii="Helvetica" w:hAnsi="Helvetica" w:eastAsia="宋体" w:cs="宋体"/>
                <w:b w:val="0"/>
                <w:bCs w:val="0"/>
                <w:kern w:val="0"/>
                <w:szCs w:val="21"/>
                <w:lang w:val="en-US" w:eastAsia="zh-CN"/>
              </w:rPr>
            </w:pPr>
            <w:r>
              <w:rPr>
                <w:rFonts w:hint="eastAsia" w:ascii="宋体" w:hAnsi="宋体" w:eastAsia="宋体" w:cs="宋体"/>
                <w:b w:val="0"/>
                <w:bCs w:val="0"/>
                <w:kern w:val="0"/>
                <w:sz w:val="24"/>
                <w:szCs w:val="24"/>
              </w:rPr>
              <w:t>专题六</w:t>
            </w:r>
            <w:r>
              <w:rPr>
                <w:rFonts w:hint="eastAsia" w:ascii="宋体" w:hAnsi="宋体" w:eastAsia="宋体" w:cs="宋体"/>
                <w:b w:val="0"/>
                <w:bCs w:val="0"/>
                <w:kern w:val="0"/>
                <w:sz w:val="24"/>
                <w:szCs w:val="24"/>
                <w:lang w:val="en-US" w:eastAsia="zh-CN"/>
              </w:rPr>
              <w:t xml:space="preserve"> 函数与导数</w:t>
            </w:r>
          </w:p>
        </w:tc>
        <w:tc>
          <w:tcPr>
            <w:tcW w:w="1524" w:type="dxa"/>
            <w:tcBorders>
              <w:top w:val="nil"/>
              <w:left w:val="nil"/>
              <w:bottom w:val="single" w:color="auto" w:sz="4" w:space="0"/>
              <w:right w:val="single" w:color="auto" w:sz="6"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r>
              <w:rPr>
                <w:rFonts w:hint="eastAsia" w:ascii="宋体" w:hAnsi="宋体" w:eastAsia="宋体" w:cs="宋体"/>
                <w:b w:val="0"/>
                <w:bCs w:val="0"/>
                <w:kern w:val="0"/>
                <w:sz w:val="24"/>
                <w:szCs w:val="24"/>
              </w:rPr>
              <w:t>第</w:t>
            </w:r>
            <w:r>
              <w:rPr>
                <w:rFonts w:hint="eastAsia" w:ascii="宋体" w:hAnsi="宋体" w:eastAsia="宋体" w:cs="宋体"/>
                <w:b w:val="0"/>
                <w:bCs w:val="0"/>
                <w:kern w:val="0"/>
                <w:sz w:val="24"/>
                <w:szCs w:val="24"/>
                <w:lang w:val="en-US" w:eastAsia="zh-CN"/>
              </w:rPr>
              <w:t>9</w:t>
            </w:r>
            <w:r>
              <w:rPr>
                <w:rFonts w:hint="eastAsia" w:ascii="宋体" w:hAnsi="宋体" w:eastAsia="宋体" w:cs="宋体"/>
                <w:b w:val="0"/>
                <w:bCs w:val="0"/>
                <w:kern w:val="0"/>
                <w:sz w:val="24"/>
                <w:szCs w:val="24"/>
              </w:rPr>
              <w:t>周</w:t>
            </w:r>
          </w:p>
        </w:tc>
        <w:tc>
          <w:tcPr>
            <w:tcW w:w="405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eastAsia" w:ascii="Helvetica" w:hAnsi="Helvetica" w:eastAsia="宋体" w:cs="宋体"/>
                <w:b w:val="0"/>
                <w:bCs w:val="0"/>
                <w:kern w:val="0"/>
                <w:szCs w:val="21"/>
                <w:lang w:eastAsia="zh-CN"/>
              </w:rPr>
            </w:pPr>
            <w:r>
              <w:rPr>
                <w:rFonts w:hint="eastAsia" w:ascii="宋体" w:hAnsi="宋体" w:eastAsia="宋体" w:cs="宋体"/>
                <w:b w:val="0"/>
                <w:bCs w:val="0"/>
                <w:kern w:val="0"/>
                <w:sz w:val="24"/>
                <w:szCs w:val="24"/>
                <w:lang w:eastAsia="zh-CN"/>
              </w:rPr>
              <w:t>二轮复习收尾</w:t>
            </w:r>
          </w:p>
        </w:tc>
        <w:tc>
          <w:tcPr>
            <w:tcW w:w="152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第</w:t>
            </w:r>
            <w:r>
              <w:rPr>
                <w:rFonts w:hint="eastAsia" w:ascii="宋体" w:hAnsi="宋体" w:eastAsia="宋体" w:cs="宋体"/>
                <w:b w:val="0"/>
                <w:bCs w:val="0"/>
                <w:kern w:val="0"/>
                <w:sz w:val="24"/>
                <w:szCs w:val="24"/>
                <w:lang w:val="en-US" w:eastAsia="zh-CN"/>
              </w:rPr>
              <w:t>10周</w:t>
            </w:r>
          </w:p>
        </w:tc>
        <w:tc>
          <w:tcPr>
            <w:tcW w:w="405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三模考前模拟</w:t>
            </w:r>
          </w:p>
        </w:tc>
        <w:tc>
          <w:tcPr>
            <w:tcW w:w="152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第</w:t>
            </w:r>
            <w:r>
              <w:rPr>
                <w:rFonts w:hint="eastAsia" w:ascii="宋体" w:hAnsi="宋体" w:eastAsia="宋体" w:cs="宋体"/>
                <w:b w:val="0"/>
                <w:bCs w:val="0"/>
                <w:kern w:val="0"/>
                <w:sz w:val="24"/>
                <w:szCs w:val="24"/>
                <w:lang w:val="en-US" w:eastAsia="zh-CN"/>
              </w:rPr>
              <w:t>11周</w:t>
            </w:r>
          </w:p>
        </w:tc>
        <w:tc>
          <w:tcPr>
            <w:tcW w:w="405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考前突破</w:t>
            </w:r>
            <w:r>
              <w:rPr>
                <w:rFonts w:hint="eastAsia" w:ascii="宋体" w:hAnsi="宋体" w:eastAsia="宋体" w:cs="宋体"/>
                <w:b w:val="0"/>
                <w:bCs w:val="0"/>
                <w:kern w:val="0"/>
                <w:sz w:val="24"/>
                <w:szCs w:val="24"/>
                <w:lang w:val="en-US" w:eastAsia="zh-CN"/>
              </w:rPr>
              <w:t xml:space="preserve"> 二级结论的解题应用</w:t>
            </w:r>
          </w:p>
        </w:tc>
        <w:tc>
          <w:tcPr>
            <w:tcW w:w="152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第</w:t>
            </w:r>
            <w:r>
              <w:rPr>
                <w:rFonts w:hint="eastAsia" w:ascii="宋体" w:hAnsi="宋体" w:eastAsia="宋体" w:cs="宋体"/>
                <w:b w:val="0"/>
                <w:bCs w:val="0"/>
                <w:kern w:val="0"/>
                <w:sz w:val="24"/>
                <w:szCs w:val="24"/>
                <w:lang w:val="en-US" w:eastAsia="zh-CN"/>
              </w:rPr>
              <w:t>12周</w:t>
            </w:r>
          </w:p>
        </w:tc>
        <w:tc>
          <w:tcPr>
            <w:tcW w:w="405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pacing w:before="100" w:beforeAutospacing="1" w:after="100" w:afterAutospacing="1" w:line="360" w:lineRule="atLeast"/>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eastAsia="zh-CN"/>
              </w:rPr>
              <w:t>考前突破</w:t>
            </w:r>
            <w:r>
              <w:rPr>
                <w:rFonts w:hint="eastAsia" w:ascii="宋体" w:hAnsi="宋体" w:eastAsia="宋体" w:cs="宋体"/>
                <w:b w:val="0"/>
                <w:bCs w:val="0"/>
                <w:kern w:val="0"/>
                <w:sz w:val="24"/>
                <w:szCs w:val="24"/>
                <w:lang w:val="en-US" w:eastAsia="zh-CN"/>
              </w:rPr>
              <w:t xml:space="preserve"> 二级结论的解题应用</w:t>
            </w:r>
          </w:p>
        </w:tc>
        <w:tc>
          <w:tcPr>
            <w:tcW w:w="152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第</w:t>
            </w:r>
            <w:r>
              <w:rPr>
                <w:rFonts w:hint="eastAsia" w:ascii="宋体" w:hAnsi="宋体" w:eastAsia="宋体" w:cs="宋体"/>
                <w:b w:val="0"/>
                <w:bCs w:val="0"/>
                <w:kern w:val="0"/>
                <w:sz w:val="24"/>
                <w:szCs w:val="24"/>
                <w:lang w:val="en-US" w:eastAsia="zh-CN"/>
              </w:rPr>
              <w:t>13周</w:t>
            </w:r>
          </w:p>
        </w:tc>
        <w:tc>
          <w:tcPr>
            <w:tcW w:w="405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pacing w:before="100" w:beforeAutospacing="1" w:after="100" w:afterAutospacing="1" w:line="360" w:lineRule="atLeast"/>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考前突破</w:t>
            </w:r>
            <w:r>
              <w:rPr>
                <w:rFonts w:hint="eastAsia" w:ascii="宋体" w:hAnsi="宋体" w:eastAsia="宋体" w:cs="宋体"/>
                <w:b w:val="0"/>
                <w:bCs w:val="0"/>
                <w:kern w:val="0"/>
                <w:sz w:val="24"/>
                <w:szCs w:val="24"/>
                <w:lang w:val="en-US" w:eastAsia="zh-CN"/>
              </w:rPr>
              <w:t xml:space="preserve"> 多选题 开放题解答题突破</w:t>
            </w:r>
          </w:p>
        </w:tc>
        <w:tc>
          <w:tcPr>
            <w:tcW w:w="152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第</w:t>
            </w:r>
            <w:r>
              <w:rPr>
                <w:rFonts w:hint="eastAsia" w:ascii="宋体" w:hAnsi="宋体" w:eastAsia="宋体" w:cs="宋体"/>
                <w:b w:val="0"/>
                <w:bCs w:val="0"/>
                <w:kern w:val="0"/>
                <w:sz w:val="24"/>
                <w:szCs w:val="24"/>
                <w:lang w:val="en-US" w:eastAsia="zh-CN"/>
              </w:rPr>
              <w:t>14周</w:t>
            </w:r>
          </w:p>
        </w:tc>
        <w:tc>
          <w:tcPr>
            <w:tcW w:w="405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pacing w:before="100" w:beforeAutospacing="1" w:after="100" w:afterAutospacing="1" w:line="360" w:lineRule="atLeast"/>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考前适应性训练</w:t>
            </w:r>
          </w:p>
        </w:tc>
        <w:tc>
          <w:tcPr>
            <w:tcW w:w="152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r>
        <w:tblPrEx>
          <w:tblCellMar>
            <w:top w:w="15" w:type="dxa"/>
            <w:left w:w="15" w:type="dxa"/>
            <w:bottom w:w="15" w:type="dxa"/>
            <w:right w:w="15" w:type="dxa"/>
          </w:tblCellMar>
        </w:tblPrEx>
        <w:trPr>
          <w:trHeight w:val="583" w:hRule="atLeast"/>
        </w:trPr>
        <w:tc>
          <w:tcPr>
            <w:tcW w:w="270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第</w:t>
            </w:r>
            <w:r>
              <w:rPr>
                <w:rFonts w:hint="eastAsia" w:ascii="宋体" w:hAnsi="宋体" w:eastAsia="宋体" w:cs="宋体"/>
                <w:b w:val="0"/>
                <w:bCs w:val="0"/>
                <w:kern w:val="0"/>
                <w:sz w:val="24"/>
                <w:szCs w:val="24"/>
                <w:lang w:val="en-US" w:eastAsia="zh-CN"/>
              </w:rPr>
              <w:t>15周</w:t>
            </w:r>
          </w:p>
        </w:tc>
        <w:tc>
          <w:tcPr>
            <w:tcW w:w="4056"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pacing w:before="100" w:beforeAutospacing="1" w:after="100" w:afterAutospacing="1" w:line="360" w:lineRule="atLeast"/>
              <w:jc w:val="left"/>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考前适应性训练</w:t>
            </w:r>
          </w:p>
        </w:tc>
        <w:tc>
          <w:tcPr>
            <w:tcW w:w="152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tcPr>
          <w:p>
            <w:pPr>
              <w:widowControl/>
              <w:spacing w:before="100" w:beforeAutospacing="1" w:after="100" w:afterAutospacing="1" w:line="360" w:lineRule="atLeast"/>
              <w:jc w:val="left"/>
              <w:rPr>
                <w:rFonts w:ascii="Helvetica" w:hAnsi="Helvetica" w:eastAsia="宋体" w:cs="宋体"/>
                <w:b w:val="0"/>
                <w:bCs w:val="0"/>
                <w:kern w:val="0"/>
                <w:szCs w:val="21"/>
              </w:rPr>
            </w:pPr>
          </w:p>
        </w:tc>
      </w:tr>
    </w:tbl>
    <w:p>
      <w:pPr>
        <w:numPr>
          <w:ilvl w:val="0"/>
          <w:numId w:val="0"/>
        </w:numPr>
        <w:spacing w:line="360" w:lineRule="auto"/>
        <w:ind w:leftChars="0"/>
        <w:jc w:val="both"/>
        <w:rPr>
          <w:rFonts w:hint="eastAsia" w:asciiTheme="minorEastAsia" w:hAnsiTheme="minorEastAsia" w:cstheme="minorEastAsia"/>
          <w:sz w:val="24"/>
          <w:szCs w:val="24"/>
          <w:lang w:val="en-US" w:eastAsia="zh-CN"/>
        </w:rPr>
      </w:pPr>
    </w:p>
    <w:p>
      <w:pPr>
        <w:numPr>
          <w:ilvl w:val="0"/>
          <w:numId w:val="0"/>
        </w:numPr>
        <w:spacing w:line="360" w:lineRule="auto"/>
        <w:ind w:leftChars="0"/>
        <w:jc w:val="both"/>
        <w:rPr>
          <w:rFonts w:hint="eastAsia" w:asciiTheme="minorEastAsia" w:hAnsiTheme="minorEastAsia" w:cstheme="minorEastAsia"/>
          <w:sz w:val="24"/>
          <w:szCs w:val="24"/>
          <w:lang w:val="en-US" w:eastAsia="zh-CN"/>
        </w:rPr>
      </w:pPr>
    </w:p>
    <w:p>
      <w:pPr>
        <w:numPr>
          <w:ilvl w:val="0"/>
          <w:numId w:val="0"/>
        </w:numPr>
        <w:spacing w:line="360" w:lineRule="auto"/>
        <w:ind w:leftChars="0"/>
        <w:jc w:val="both"/>
        <w:rPr>
          <w:rFonts w:hint="eastAsia" w:asciiTheme="minorEastAsia" w:hAnsiTheme="minorEastAsia" w:cstheme="minorEastAsia"/>
          <w:sz w:val="24"/>
          <w:szCs w:val="24"/>
          <w:lang w:val="en-US" w:eastAsia="zh-CN"/>
        </w:rPr>
      </w:pPr>
    </w:p>
    <w:p>
      <w:pPr>
        <w:numPr>
          <w:ilvl w:val="0"/>
          <w:numId w:val="0"/>
        </w:numPr>
        <w:spacing w:line="360" w:lineRule="auto"/>
        <w:ind w:leftChars="0"/>
        <w:jc w:val="both"/>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2、活动安排</w:t>
      </w:r>
    </w:p>
    <w:tbl>
      <w:tblPr>
        <w:tblStyle w:val="2"/>
        <w:tblW w:w="0" w:type="auto"/>
        <w:tblInd w:w="0" w:type="dxa"/>
        <w:tblLayout w:type="autofit"/>
        <w:tblCellMar>
          <w:top w:w="0" w:type="dxa"/>
          <w:left w:w="0" w:type="dxa"/>
          <w:bottom w:w="0" w:type="dxa"/>
          <w:right w:w="0" w:type="dxa"/>
        </w:tblCellMar>
      </w:tblPr>
      <w:tblGrid>
        <w:gridCol w:w="2235"/>
        <w:gridCol w:w="3435"/>
        <w:gridCol w:w="2402"/>
      </w:tblGrid>
      <w:tr>
        <w:tblPrEx>
          <w:tblCellMar>
            <w:top w:w="0" w:type="dxa"/>
            <w:left w:w="0" w:type="dxa"/>
            <w:bottom w:w="0" w:type="dxa"/>
            <w:right w:w="0" w:type="dxa"/>
          </w:tblCellMar>
        </w:tblPrEx>
        <w:trPr>
          <w:trHeight w:val="480" w:hRule="atLeast"/>
        </w:trPr>
        <w:tc>
          <w:tcPr>
            <w:tcW w:w="223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时间</w:t>
            </w:r>
          </w:p>
        </w:tc>
        <w:tc>
          <w:tcPr>
            <w:tcW w:w="3435"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活动</w:t>
            </w:r>
          </w:p>
        </w:tc>
        <w:tc>
          <w:tcPr>
            <w:tcW w:w="2402" w:type="dxa"/>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负责人（评课人）</w:t>
            </w:r>
          </w:p>
        </w:tc>
      </w:tr>
      <w:tr>
        <w:tblPrEx>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第1周</w:t>
            </w:r>
          </w:p>
        </w:tc>
        <w:tc>
          <w:tcPr>
            <w:tcW w:w="343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备课组集体备课</w:t>
            </w:r>
          </w:p>
        </w:tc>
        <w:tc>
          <w:tcPr>
            <w:tcW w:w="2402"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hint="eastAsia" w:ascii="Helvetica" w:hAnsi="Helvetica" w:eastAsia="宋体" w:cs="宋体"/>
                <w:kern w:val="0"/>
                <w:szCs w:val="21"/>
                <w:lang w:eastAsia="zh-CN"/>
              </w:rPr>
            </w:pPr>
            <w:r>
              <w:rPr>
                <w:rFonts w:hint="eastAsia" w:ascii="宋体" w:hAnsi="宋体" w:eastAsia="宋体" w:cs="宋体"/>
                <w:color w:val="000000"/>
                <w:kern w:val="0"/>
                <w:sz w:val="24"/>
                <w:szCs w:val="24"/>
                <w:lang w:eastAsia="zh-CN"/>
              </w:rPr>
              <w:t>严建英</w:t>
            </w:r>
          </w:p>
        </w:tc>
      </w:tr>
      <w:tr>
        <w:tblPrEx>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第2周</w:t>
            </w:r>
          </w:p>
        </w:tc>
        <w:tc>
          <w:tcPr>
            <w:tcW w:w="343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lang w:eastAsia="zh-CN"/>
              </w:rPr>
              <w:t>张彩转</w:t>
            </w:r>
            <w:r>
              <w:rPr>
                <w:rFonts w:hint="eastAsia" w:ascii="宋体" w:hAnsi="宋体" w:eastAsia="宋体" w:cs="宋体"/>
                <w:color w:val="000000"/>
                <w:kern w:val="0"/>
                <w:sz w:val="24"/>
                <w:szCs w:val="24"/>
              </w:rPr>
              <w:t>公开课</w:t>
            </w:r>
          </w:p>
        </w:tc>
        <w:tc>
          <w:tcPr>
            <w:tcW w:w="2402"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hint="eastAsia" w:ascii="Helvetica" w:hAnsi="Helvetica" w:eastAsia="宋体" w:cs="宋体"/>
                <w:kern w:val="0"/>
                <w:szCs w:val="21"/>
                <w:lang w:eastAsia="zh-CN"/>
              </w:rPr>
            </w:pPr>
            <w:r>
              <w:rPr>
                <w:rFonts w:hint="eastAsia" w:ascii="宋体" w:hAnsi="宋体" w:eastAsia="宋体" w:cs="宋体"/>
                <w:color w:val="000000"/>
                <w:kern w:val="0"/>
                <w:sz w:val="24"/>
                <w:szCs w:val="24"/>
                <w:lang w:eastAsia="zh-CN"/>
              </w:rPr>
              <w:t>王晓琴</w:t>
            </w:r>
          </w:p>
        </w:tc>
      </w:tr>
      <w:tr>
        <w:tblPrEx>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第4周</w:t>
            </w:r>
          </w:p>
        </w:tc>
        <w:tc>
          <w:tcPr>
            <w:tcW w:w="343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备课组集体备课</w:t>
            </w:r>
          </w:p>
        </w:tc>
        <w:tc>
          <w:tcPr>
            <w:tcW w:w="2402"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hint="eastAsia" w:ascii="Helvetica" w:hAnsi="Helvetica" w:eastAsia="宋体" w:cs="宋体"/>
                <w:kern w:val="0"/>
                <w:szCs w:val="21"/>
                <w:lang w:eastAsia="zh-CN"/>
              </w:rPr>
            </w:pPr>
            <w:r>
              <w:rPr>
                <w:rFonts w:hint="eastAsia" w:ascii="宋体" w:hAnsi="宋体" w:eastAsia="宋体" w:cs="宋体"/>
                <w:color w:val="000000"/>
                <w:kern w:val="0"/>
                <w:sz w:val="24"/>
                <w:szCs w:val="24"/>
                <w:lang w:eastAsia="zh-CN"/>
              </w:rPr>
              <w:t>郑必强</w:t>
            </w:r>
          </w:p>
        </w:tc>
      </w:tr>
      <w:tr>
        <w:tblPrEx>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第6周</w:t>
            </w:r>
          </w:p>
        </w:tc>
        <w:tc>
          <w:tcPr>
            <w:tcW w:w="343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lang w:eastAsia="zh-CN"/>
              </w:rPr>
              <w:t>李鑫杰</w:t>
            </w:r>
            <w:r>
              <w:rPr>
                <w:rFonts w:hint="eastAsia" w:ascii="宋体" w:hAnsi="宋体" w:eastAsia="宋体" w:cs="宋体"/>
                <w:color w:val="000000"/>
                <w:kern w:val="0"/>
                <w:sz w:val="24"/>
                <w:szCs w:val="24"/>
              </w:rPr>
              <w:t>公开课</w:t>
            </w:r>
          </w:p>
        </w:tc>
        <w:tc>
          <w:tcPr>
            <w:tcW w:w="2402"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hint="eastAsia" w:ascii="Helvetica" w:hAnsi="Helvetica" w:eastAsia="宋体" w:cs="宋体"/>
                <w:kern w:val="0"/>
                <w:szCs w:val="21"/>
                <w:lang w:eastAsia="zh-CN"/>
              </w:rPr>
            </w:pPr>
            <w:r>
              <w:rPr>
                <w:rFonts w:hint="eastAsia" w:ascii="宋体" w:hAnsi="宋体" w:eastAsia="宋体" w:cs="宋体"/>
                <w:color w:val="000000"/>
                <w:kern w:val="0"/>
                <w:sz w:val="24"/>
                <w:szCs w:val="24"/>
                <w:lang w:eastAsia="zh-CN"/>
              </w:rPr>
              <w:t>谭春林</w:t>
            </w:r>
          </w:p>
        </w:tc>
      </w:tr>
      <w:tr>
        <w:tblPrEx>
          <w:tblCellMar>
            <w:top w:w="0" w:type="dxa"/>
            <w:left w:w="0" w:type="dxa"/>
            <w:bottom w:w="0" w:type="dxa"/>
            <w:right w:w="0" w:type="dxa"/>
          </w:tblCellMar>
        </w:tblPrEx>
        <w:trPr>
          <w:trHeight w:val="465" w:hRule="atLeast"/>
        </w:trPr>
        <w:tc>
          <w:tcPr>
            <w:tcW w:w="22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第8周</w:t>
            </w:r>
          </w:p>
        </w:tc>
        <w:tc>
          <w:tcPr>
            <w:tcW w:w="343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lang w:eastAsia="zh-CN"/>
              </w:rPr>
              <w:t>郝园园</w:t>
            </w:r>
            <w:r>
              <w:rPr>
                <w:rFonts w:hint="eastAsia" w:ascii="宋体" w:hAnsi="宋体" w:eastAsia="宋体" w:cs="宋体"/>
                <w:color w:val="000000"/>
                <w:kern w:val="0"/>
                <w:sz w:val="24"/>
                <w:szCs w:val="24"/>
              </w:rPr>
              <w:t xml:space="preserve">公开课 </w:t>
            </w:r>
          </w:p>
        </w:tc>
        <w:tc>
          <w:tcPr>
            <w:tcW w:w="2402"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hint="eastAsia" w:ascii="Helvetica" w:hAnsi="Helvetica" w:eastAsia="宋体" w:cs="宋体"/>
                <w:kern w:val="0"/>
                <w:szCs w:val="21"/>
                <w:lang w:eastAsia="zh-CN"/>
              </w:rPr>
            </w:pPr>
            <w:r>
              <w:rPr>
                <w:rFonts w:hint="eastAsia" w:ascii="宋体" w:hAnsi="宋体" w:eastAsia="宋体" w:cs="宋体"/>
                <w:color w:val="000000"/>
                <w:kern w:val="0"/>
                <w:sz w:val="24"/>
                <w:szCs w:val="24"/>
                <w:lang w:eastAsia="zh-CN"/>
              </w:rPr>
              <w:t>秦晓巧</w:t>
            </w:r>
          </w:p>
        </w:tc>
      </w:tr>
      <w:tr>
        <w:tblPrEx>
          <w:tblCellMar>
            <w:top w:w="0" w:type="dxa"/>
            <w:left w:w="0" w:type="dxa"/>
            <w:bottom w:w="0" w:type="dxa"/>
            <w:right w:w="0" w:type="dxa"/>
          </w:tblCellMar>
        </w:tblPrEx>
        <w:trPr>
          <w:trHeight w:val="390" w:hRule="atLeast"/>
        </w:trPr>
        <w:tc>
          <w:tcPr>
            <w:tcW w:w="22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第10周</w:t>
            </w:r>
          </w:p>
        </w:tc>
        <w:tc>
          <w:tcPr>
            <w:tcW w:w="343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备课组集体备课</w:t>
            </w:r>
          </w:p>
        </w:tc>
        <w:tc>
          <w:tcPr>
            <w:tcW w:w="2402"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hint="eastAsia" w:ascii="Helvetica" w:hAnsi="Helvetica" w:eastAsia="宋体" w:cs="宋体"/>
                <w:kern w:val="0"/>
                <w:szCs w:val="21"/>
                <w:lang w:eastAsia="zh-CN"/>
              </w:rPr>
            </w:pPr>
            <w:r>
              <w:rPr>
                <w:rFonts w:hint="eastAsia" w:ascii="宋体" w:hAnsi="宋体" w:eastAsia="宋体" w:cs="宋体"/>
                <w:color w:val="000000"/>
                <w:kern w:val="0"/>
                <w:sz w:val="24"/>
                <w:szCs w:val="24"/>
                <w:lang w:eastAsia="zh-CN"/>
              </w:rPr>
              <w:t>吉文勇</w:t>
            </w:r>
          </w:p>
        </w:tc>
      </w:tr>
      <w:tr>
        <w:tblPrEx>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第12周</w:t>
            </w:r>
          </w:p>
        </w:tc>
        <w:tc>
          <w:tcPr>
            <w:tcW w:w="343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lang w:eastAsia="zh-CN"/>
              </w:rPr>
              <w:t>严建英</w:t>
            </w:r>
            <w:r>
              <w:rPr>
                <w:rFonts w:hint="eastAsia" w:ascii="宋体" w:hAnsi="宋体" w:eastAsia="宋体" w:cs="宋体"/>
                <w:color w:val="000000"/>
                <w:kern w:val="0"/>
                <w:sz w:val="24"/>
                <w:szCs w:val="24"/>
              </w:rPr>
              <w:t xml:space="preserve">公开课 </w:t>
            </w:r>
          </w:p>
        </w:tc>
        <w:tc>
          <w:tcPr>
            <w:tcW w:w="2402"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hint="eastAsia" w:ascii="Helvetica" w:hAnsi="Helvetica" w:eastAsia="宋体" w:cs="宋体"/>
                <w:kern w:val="0"/>
                <w:szCs w:val="21"/>
                <w:lang w:eastAsia="zh-CN"/>
              </w:rPr>
            </w:pPr>
            <w:r>
              <w:rPr>
                <w:rFonts w:hint="eastAsia" w:ascii="宋体" w:hAnsi="宋体" w:eastAsia="宋体" w:cs="宋体"/>
                <w:color w:val="000000"/>
                <w:kern w:val="0"/>
                <w:sz w:val="24"/>
                <w:szCs w:val="24"/>
                <w:lang w:eastAsia="zh-CN"/>
              </w:rPr>
              <w:t>周国溢</w:t>
            </w:r>
          </w:p>
        </w:tc>
      </w:tr>
      <w:tr>
        <w:tblPrEx>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rPr>
              <w:t>第14周</w:t>
            </w:r>
          </w:p>
        </w:tc>
        <w:tc>
          <w:tcPr>
            <w:tcW w:w="3435"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ascii="Helvetica" w:hAnsi="Helvetica" w:eastAsia="宋体" w:cs="宋体"/>
                <w:kern w:val="0"/>
                <w:szCs w:val="21"/>
              </w:rPr>
            </w:pPr>
            <w:r>
              <w:rPr>
                <w:rFonts w:hint="eastAsia" w:ascii="宋体" w:hAnsi="宋体" w:eastAsia="宋体" w:cs="宋体"/>
                <w:color w:val="000000"/>
                <w:kern w:val="0"/>
                <w:sz w:val="24"/>
                <w:szCs w:val="24"/>
                <w:lang w:eastAsia="zh-CN"/>
              </w:rPr>
              <w:t>孙帮兰</w:t>
            </w:r>
            <w:r>
              <w:rPr>
                <w:rFonts w:hint="eastAsia" w:ascii="宋体" w:hAnsi="宋体" w:eastAsia="宋体" w:cs="宋体"/>
                <w:color w:val="000000"/>
                <w:kern w:val="0"/>
                <w:sz w:val="24"/>
                <w:szCs w:val="24"/>
              </w:rPr>
              <w:t>公开课</w:t>
            </w:r>
          </w:p>
        </w:tc>
        <w:tc>
          <w:tcPr>
            <w:tcW w:w="2402" w:type="dxa"/>
            <w:tcBorders>
              <w:top w:val="nil"/>
              <w:left w:val="nil"/>
              <w:bottom w:val="single" w:color="auto" w:sz="6" w:space="0"/>
              <w:right w:val="single" w:color="auto" w:sz="6" w:space="0"/>
            </w:tcBorders>
            <w:tcMar>
              <w:top w:w="0" w:type="dxa"/>
              <w:left w:w="105" w:type="dxa"/>
              <w:bottom w:w="0" w:type="dxa"/>
              <w:right w:w="105" w:type="dxa"/>
            </w:tcMar>
          </w:tcPr>
          <w:p>
            <w:pPr>
              <w:widowControl/>
              <w:spacing w:before="100" w:beforeAutospacing="1" w:after="100" w:afterAutospacing="1" w:line="375" w:lineRule="atLeast"/>
              <w:jc w:val="center"/>
              <w:rPr>
                <w:rFonts w:hint="eastAsia" w:ascii="Helvetica" w:hAnsi="Helvetica" w:eastAsia="宋体" w:cs="宋体"/>
                <w:kern w:val="0"/>
                <w:szCs w:val="21"/>
                <w:lang w:eastAsia="zh-CN"/>
              </w:rPr>
            </w:pPr>
            <w:r>
              <w:rPr>
                <w:rFonts w:hint="eastAsia" w:ascii="宋体" w:hAnsi="宋体" w:eastAsia="宋体" w:cs="宋体"/>
                <w:color w:val="000000"/>
                <w:kern w:val="0"/>
                <w:sz w:val="24"/>
                <w:szCs w:val="24"/>
                <w:lang w:eastAsia="zh-CN"/>
              </w:rPr>
              <w:t>李林</w:t>
            </w:r>
          </w:p>
        </w:tc>
      </w:tr>
    </w:tbl>
    <w:p>
      <w:pPr>
        <w:rPr>
          <w:rFonts w:hint="eastAsia"/>
          <w:lang w:val="en-US" w:eastAsia="zh-CN"/>
        </w:rPr>
      </w:pPr>
    </w:p>
    <w:p>
      <w:pPr>
        <w:numPr>
          <w:ilvl w:val="0"/>
          <w:numId w:val="0"/>
        </w:num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7E02"/>
    <w:multiLevelType w:val="singleLevel"/>
    <w:tmpl w:val="A80C7E02"/>
    <w:lvl w:ilvl="0" w:tentative="0">
      <w:start w:val="1"/>
      <w:numFmt w:val="chineseCounting"/>
      <w:suff w:val="nothing"/>
      <w:lvlText w:val="%1、"/>
      <w:lvlJc w:val="left"/>
      <w:rPr>
        <w:rFonts w:hint="eastAsia"/>
      </w:rPr>
    </w:lvl>
  </w:abstractNum>
  <w:abstractNum w:abstractNumId="1">
    <w:nsid w:val="E73B2FD6"/>
    <w:multiLevelType w:val="singleLevel"/>
    <w:tmpl w:val="E73B2FD6"/>
    <w:lvl w:ilvl="0" w:tentative="0">
      <w:start w:val="1"/>
      <w:numFmt w:val="decimal"/>
      <w:suff w:val="nothing"/>
      <w:lvlText w:val="%1、"/>
      <w:lvlJc w:val="left"/>
    </w:lvl>
  </w:abstractNum>
  <w:abstractNum w:abstractNumId="2">
    <w:nsid w:val="000FFDE3"/>
    <w:multiLevelType w:val="singleLevel"/>
    <w:tmpl w:val="000FFDE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85722"/>
    <w:rsid w:val="06D20E08"/>
    <w:rsid w:val="23757DCF"/>
    <w:rsid w:val="422D2D42"/>
    <w:rsid w:val="4C885722"/>
    <w:rsid w:val="5F3666AA"/>
    <w:rsid w:val="621E7B37"/>
    <w:rsid w:val="6B9E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2021-02-24T10:42:00Z</dcterms:created>
  <dc:creator>老师傅</dc:creator>
  <cp:lastModifiedBy>老师傅</cp:lastModifiedBy>
  <dcterms:modified xsi:type="dcterms:W3CDTF">2021-02-25T08:38:17Z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