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20</w:t>
      </w:r>
      <w:r>
        <w:rPr>
          <w:rFonts w:hint="eastAsia" w:ascii="宋体" w:hAnsi="宋体"/>
          <w:b/>
          <w:sz w:val="28"/>
          <w:szCs w:val="28"/>
          <w:lang w:val="en-US" w:eastAsia="zh-CN"/>
        </w:rPr>
        <w:t>20</w:t>
      </w:r>
      <w:r>
        <w:rPr>
          <w:rFonts w:hint="eastAsia" w:ascii="宋体" w:hAnsi="宋体"/>
          <w:b/>
          <w:sz w:val="28"/>
          <w:szCs w:val="28"/>
        </w:rPr>
        <w:t>—202</w:t>
      </w:r>
      <w:r>
        <w:rPr>
          <w:rFonts w:hint="eastAsia" w:ascii="宋体" w:hAnsi="宋体"/>
          <w:b/>
          <w:sz w:val="28"/>
          <w:szCs w:val="28"/>
          <w:lang w:val="en-US" w:eastAsia="zh-CN"/>
        </w:rPr>
        <w:t>1</w:t>
      </w:r>
      <w:r>
        <w:rPr>
          <w:rFonts w:hint="eastAsia" w:ascii="宋体" w:hAnsi="宋体"/>
          <w:b/>
          <w:sz w:val="28"/>
          <w:szCs w:val="28"/>
        </w:rPr>
        <w:t>学年第二学期高</w:t>
      </w:r>
      <w:r>
        <w:rPr>
          <w:rFonts w:hint="eastAsia" w:ascii="宋体" w:hAnsi="宋体"/>
          <w:b/>
          <w:sz w:val="28"/>
          <w:szCs w:val="28"/>
          <w:lang w:val="en-US" w:eastAsia="zh-CN"/>
        </w:rPr>
        <w:t>三</w:t>
      </w:r>
      <w:r>
        <w:rPr>
          <w:rFonts w:hint="eastAsia" w:ascii="宋体" w:hAnsi="宋体"/>
          <w:b/>
          <w:sz w:val="28"/>
          <w:szCs w:val="28"/>
        </w:rPr>
        <w:t>物理组工作计划及教学进度</w:t>
      </w:r>
    </w:p>
    <w:p>
      <w:pPr>
        <w:widowControl/>
        <w:spacing w:line="360" w:lineRule="auto"/>
        <w:ind w:firstLine="420" w:firstLineChars="200"/>
        <w:jc w:val="left"/>
        <w:rPr>
          <w:rFonts w:ascii="宋体" w:hAnsi="宋体"/>
          <w:kern w:val="0"/>
          <w:sz w:val="21"/>
          <w:szCs w:val="21"/>
        </w:rPr>
      </w:pPr>
      <w:r>
        <w:rPr>
          <w:rFonts w:hint="eastAsia" w:asciiTheme="minorEastAsia" w:hAnsiTheme="minorEastAsia" w:eastAsiaTheme="minorEastAsia" w:cstheme="minorEastAsia"/>
          <w:color w:val="333333"/>
          <w:sz w:val="21"/>
          <w:szCs w:val="21"/>
        </w:rPr>
        <w:t>根据</w:t>
      </w:r>
      <w:r>
        <w:rPr>
          <w:rFonts w:hint="eastAsia" w:asciiTheme="minorEastAsia" w:hAnsiTheme="minorEastAsia" w:cstheme="minorEastAsia"/>
          <w:color w:val="333333"/>
          <w:sz w:val="21"/>
          <w:szCs w:val="21"/>
          <w:lang w:val="en-US" w:eastAsia="zh-CN"/>
        </w:rPr>
        <w:t>高三年级组</w:t>
      </w:r>
      <w:r>
        <w:rPr>
          <w:rFonts w:hint="eastAsia" w:asciiTheme="minorEastAsia" w:hAnsiTheme="minorEastAsia" w:eastAsiaTheme="minorEastAsia" w:cstheme="minorEastAsia"/>
          <w:color w:val="333333"/>
          <w:sz w:val="21"/>
          <w:szCs w:val="21"/>
        </w:rPr>
        <w:t>新学期的</w:t>
      </w:r>
      <w:r>
        <w:rPr>
          <w:rFonts w:hint="eastAsia" w:asciiTheme="minorEastAsia" w:hAnsiTheme="minorEastAsia" w:eastAsiaTheme="minorEastAsia" w:cstheme="minorEastAsia"/>
          <w:color w:val="000000"/>
          <w:sz w:val="21"/>
          <w:szCs w:val="21"/>
        </w:rPr>
        <w:t>工作总目标</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以目标凝聚备课组发展合力</w:t>
      </w:r>
      <w:r>
        <w:rPr>
          <w:rFonts w:hint="eastAsia" w:ascii="宋体" w:hAnsi="宋体" w:cs="宋体"/>
          <w:kern w:val="0"/>
          <w:sz w:val="21"/>
          <w:szCs w:val="21"/>
          <w:lang w:val="en-US" w:eastAsia="zh-CN"/>
        </w:rPr>
        <w:t>，</w:t>
      </w:r>
      <w:r>
        <w:rPr>
          <w:rFonts w:hint="eastAsia" w:ascii="宋体" w:hAnsi="宋体" w:cs="宋体"/>
          <w:kern w:val="0"/>
          <w:sz w:val="21"/>
          <w:szCs w:val="21"/>
        </w:rPr>
        <w:t>继续加强课堂教学</w:t>
      </w:r>
      <w:r>
        <w:rPr>
          <w:rFonts w:ascii="宋体" w:hAnsi="宋体"/>
          <w:kern w:val="0"/>
          <w:sz w:val="21"/>
          <w:szCs w:val="21"/>
        </w:rPr>
        <w:t>,</w:t>
      </w:r>
      <w:r>
        <w:rPr>
          <w:rFonts w:hint="eastAsia" w:ascii="宋体" w:hAnsi="宋体" w:cs="宋体"/>
          <w:kern w:val="0"/>
          <w:sz w:val="21"/>
          <w:szCs w:val="21"/>
        </w:rPr>
        <w:t>关注学生的学习过程</w:t>
      </w:r>
      <w:r>
        <w:rPr>
          <w:rFonts w:hint="eastAsia" w:ascii="宋体" w:hAnsi="宋体"/>
          <w:kern w:val="0"/>
          <w:sz w:val="21"/>
          <w:szCs w:val="21"/>
        </w:rPr>
        <w:t>和</w:t>
      </w:r>
      <w:r>
        <w:rPr>
          <w:rFonts w:hint="eastAsia" w:ascii="宋体" w:hAnsi="宋体" w:cs="宋体"/>
          <w:kern w:val="0"/>
          <w:sz w:val="21"/>
          <w:szCs w:val="21"/>
        </w:rPr>
        <w:t>身心体验</w:t>
      </w:r>
      <w:r>
        <w:rPr>
          <w:rFonts w:hint="eastAsia" w:ascii="宋体" w:hAnsi="宋体"/>
          <w:kern w:val="0"/>
          <w:sz w:val="21"/>
          <w:szCs w:val="21"/>
        </w:rPr>
        <w:t>。</w:t>
      </w:r>
      <w:r>
        <w:rPr>
          <w:rFonts w:hint="eastAsia" w:ascii="宋体" w:hAnsi="宋体" w:cs="宋体"/>
          <w:kern w:val="0"/>
          <w:sz w:val="21"/>
          <w:szCs w:val="21"/>
        </w:rPr>
        <w:t>进一步落实教学常规工作</w:t>
      </w:r>
      <w:r>
        <w:rPr>
          <w:rFonts w:ascii="宋体" w:hAnsi="宋体"/>
          <w:kern w:val="0"/>
          <w:sz w:val="21"/>
          <w:szCs w:val="21"/>
        </w:rPr>
        <w:t>,</w:t>
      </w:r>
      <w:r>
        <w:rPr>
          <w:rFonts w:hint="eastAsia" w:ascii="宋体" w:hAnsi="宋体" w:cs="宋体"/>
          <w:kern w:val="0"/>
          <w:sz w:val="21"/>
          <w:szCs w:val="21"/>
        </w:rPr>
        <w:t>加强本组教师间的推磨听课</w:t>
      </w:r>
      <w:r>
        <w:rPr>
          <w:rFonts w:ascii="宋体" w:hAnsi="宋体"/>
          <w:kern w:val="0"/>
          <w:sz w:val="21"/>
          <w:szCs w:val="21"/>
        </w:rPr>
        <w:t>,</w:t>
      </w:r>
      <w:r>
        <w:rPr>
          <w:rFonts w:hint="eastAsia" w:ascii="宋体" w:hAnsi="宋体" w:cs="宋体"/>
          <w:kern w:val="0"/>
          <w:sz w:val="21"/>
          <w:szCs w:val="21"/>
        </w:rPr>
        <w:t>进一步提高教师自身素质和教学效果</w:t>
      </w:r>
      <w:r>
        <w:rPr>
          <w:rFonts w:hint="eastAsia" w:ascii="宋体" w:hAnsi="宋体"/>
          <w:kern w:val="0"/>
          <w:sz w:val="21"/>
          <w:szCs w:val="21"/>
        </w:rPr>
        <w:t>。</w:t>
      </w:r>
      <w:r>
        <w:rPr>
          <w:rFonts w:ascii="宋体" w:hAnsi="宋体"/>
          <w:kern w:val="0"/>
          <w:sz w:val="21"/>
          <w:szCs w:val="21"/>
        </w:rPr>
        <w:t> </w:t>
      </w:r>
    </w:p>
    <w:p>
      <w:pPr>
        <w:widowControl/>
        <w:spacing w:line="360" w:lineRule="auto"/>
        <w:ind w:left="-60"/>
        <w:jc w:val="left"/>
        <w:rPr>
          <w:rFonts w:ascii="宋体" w:hAnsi="宋体" w:cs="宋体"/>
          <w:b/>
          <w:kern w:val="0"/>
          <w:szCs w:val="21"/>
        </w:rPr>
      </w:pPr>
      <w:r>
        <w:rPr>
          <w:rFonts w:hint="eastAsia" w:ascii="宋体" w:hAnsi="宋体" w:cs="宋体"/>
          <w:b/>
          <w:kern w:val="0"/>
          <w:szCs w:val="21"/>
        </w:rPr>
        <w:t>一、基本情况分析</w:t>
      </w:r>
    </w:p>
    <w:p>
      <w:pPr>
        <w:widowControl/>
        <w:spacing w:line="360" w:lineRule="auto"/>
        <w:ind w:firstLine="420" w:firstLineChars="200"/>
        <w:jc w:val="left"/>
        <w:rPr>
          <w:rFonts w:ascii="宋体" w:hAnsi="宋体" w:cs="宋体"/>
          <w:kern w:val="0"/>
          <w:szCs w:val="21"/>
        </w:rPr>
      </w:pPr>
      <w:r>
        <w:rPr>
          <w:rFonts w:hint="eastAsia" w:ascii="宋体" w:hAnsi="宋体"/>
          <w:kern w:val="0"/>
          <w:szCs w:val="21"/>
          <w:lang w:val="en-US" w:eastAsia="zh-CN"/>
        </w:rPr>
        <w:t>大部分的学生对知识的掌握不够，特别是对基础知识的理解掌握不够，对建立物理情景、物理模型的能力还有待加强，知识点的连贯性还有待提高。需要</w:t>
      </w:r>
      <w:r>
        <w:rPr>
          <w:rFonts w:hint="eastAsia" w:ascii="宋体" w:hAnsi="宋体"/>
          <w:kern w:val="0"/>
          <w:szCs w:val="21"/>
        </w:rPr>
        <w:t>进一步使学生</w:t>
      </w:r>
      <w:r>
        <w:rPr>
          <w:rFonts w:hint="eastAsia" w:ascii="宋体" w:hAnsi="宋体"/>
          <w:kern w:val="0"/>
          <w:szCs w:val="21"/>
          <w:lang w:val="en-US" w:eastAsia="zh-CN"/>
        </w:rPr>
        <w:t>养</w:t>
      </w:r>
      <w:r>
        <w:rPr>
          <w:rFonts w:hint="eastAsia" w:ascii="宋体" w:hAnsi="宋体"/>
          <w:kern w:val="0"/>
          <w:szCs w:val="21"/>
        </w:rPr>
        <w:t>成</w:t>
      </w:r>
      <w:bookmarkStart w:id="0" w:name="_GoBack"/>
      <w:bookmarkEnd w:id="0"/>
      <w:r>
        <w:rPr>
          <w:rFonts w:hint="eastAsia" w:ascii="宋体" w:hAnsi="宋体"/>
          <w:kern w:val="0"/>
          <w:szCs w:val="21"/>
        </w:rPr>
        <w:t>良好的学习习惯，</w:t>
      </w:r>
      <w:r>
        <w:rPr>
          <w:rFonts w:hint="eastAsia" w:ascii="宋体" w:hAnsi="宋体" w:cs="宋体"/>
          <w:kern w:val="0"/>
          <w:szCs w:val="21"/>
        </w:rPr>
        <w:t>同时强调物理学的研究思想和方法，物理学的思维习惯的培养，在基本掌握物理概念与规律的同时提高应用物理知识解决实际问题的能力。</w:t>
      </w:r>
      <w:r>
        <w:rPr>
          <w:rFonts w:ascii="宋体" w:hAnsi="宋体" w:cs="宋体"/>
          <w:kern w:val="0"/>
          <w:szCs w:val="21"/>
        </w:rPr>
        <w:t xml:space="preserve"> </w:t>
      </w:r>
    </w:p>
    <w:p>
      <w:pPr>
        <w:spacing w:line="360" w:lineRule="auto"/>
        <w:rPr>
          <w:rFonts w:ascii="宋体" w:hAnsi="宋体"/>
          <w:b/>
          <w:szCs w:val="21"/>
        </w:rPr>
      </w:pPr>
      <w:r>
        <w:rPr>
          <w:rFonts w:hint="eastAsia" w:ascii="宋体" w:hAnsi="宋体"/>
          <w:b/>
          <w:szCs w:val="21"/>
        </w:rPr>
        <w:t>二、工作目标</w:t>
      </w:r>
    </w:p>
    <w:p>
      <w:pPr>
        <w:spacing w:line="360" w:lineRule="auto"/>
        <w:rPr>
          <w:rFonts w:ascii="宋体" w:hAnsi="宋体"/>
          <w:szCs w:val="21"/>
        </w:rPr>
      </w:pPr>
      <w:r>
        <w:rPr>
          <w:rFonts w:hint="eastAsia" w:ascii="宋体" w:hAnsi="宋体"/>
          <w:szCs w:val="21"/>
        </w:rPr>
        <w:t>1. 把握</w:t>
      </w:r>
      <w:r>
        <w:rPr>
          <w:rFonts w:hint="eastAsia" w:ascii="宋体" w:hAnsi="宋体"/>
          <w:szCs w:val="21"/>
          <w:lang w:val="en-US" w:eastAsia="zh-CN"/>
        </w:rPr>
        <w:t>新高考特点</w:t>
      </w:r>
      <w:r>
        <w:rPr>
          <w:rFonts w:hint="eastAsia" w:ascii="宋体" w:hAnsi="宋体"/>
          <w:szCs w:val="21"/>
        </w:rPr>
        <w:t>,贯彻</w:t>
      </w:r>
      <w:r>
        <w:rPr>
          <w:rFonts w:hint="eastAsia" w:ascii="宋体" w:hAnsi="宋体"/>
          <w:szCs w:val="21"/>
          <w:lang w:val="en-US" w:eastAsia="zh-CN"/>
        </w:rPr>
        <w:t>新课标</w:t>
      </w:r>
      <w:r>
        <w:rPr>
          <w:rFonts w:hint="eastAsia" w:ascii="宋体" w:hAnsi="宋体"/>
          <w:szCs w:val="21"/>
        </w:rPr>
        <w:t>精神，进一步提高课堂教学效率。</w:t>
      </w:r>
    </w:p>
    <w:p>
      <w:pPr>
        <w:spacing w:line="360" w:lineRule="auto"/>
        <w:rPr>
          <w:rFonts w:ascii="宋体" w:hAnsi="宋体"/>
          <w:szCs w:val="21"/>
        </w:rPr>
      </w:pPr>
      <w:r>
        <w:rPr>
          <w:rFonts w:hint="eastAsia" w:ascii="宋体" w:hAnsi="宋体"/>
          <w:szCs w:val="21"/>
        </w:rPr>
        <w:t>2．全组教师团结协作，认真做好集体备课和个人二次备课工作。</w:t>
      </w:r>
    </w:p>
    <w:p>
      <w:pPr>
        <w:spacing w:line="360" w:lineRule="auto"/>
        <w:rPr>
          <w:rFonts w:ascii="宋体" w:hAnsi="宋体"/>
          <w:szCs w:val="21"/>
        </w:rPr>
      </w:pPr>
      <w:r>
        <w:rPr>
          <w:rFonts w:hint="eastAsia" w:ascii="宋体" w:hAnsi="宋体"/>
          <w:szCs w:val="21"/>
        </w:rPr>
        <w:t>3. 认真落实教学常规，确保教学各环节扎实有效。</w:t>
      </w:r>
    </w:p>
    <w:p>
      <w:pPr>
        <w:spacing w:line="360" w:lineRule="auto"/>
        <w:rPr>
          <w:rFonts w:ascii="宋体" w:hAnsi="宋体"/>
          <w:szCs w:val="21"/>
        </w:rPr>
      </w:pPr>
      <w:r>
        <w:rPr>
          <w:rFonts w:hint="eastAsia" w:ascii="宋体" w:hAnsi="宋体"/>
          <w:szCs w:val="21"/>
        </w:rPr>
        <w:t>4. 教学中注重培养学生良好的学习习惯和学习方法，树立严谨治学的良好作风。</w:t>
      </w:r>
    </w:p>
    <w:p>
      <w:pPr>
        <w:spacing w:line="360" w:lineRule="auto"/>
        <w:rPr>
          <w:rFonts w:ascii="宋体" w:hAnsi="宋体"/>
          <w:b/>
          <w:szCs w:val="21"/>
        </w:rPr>
      </w:pPr>
      <w:r>
        <w:rPr>
          <w:rFonts w:hint="eastAsia" w:ascii="宋体" w:hAnsi="宋体"/>
          <w:b/>
          <w:szCs w:val="21"/>
        </w:rPr>
        <w:t>三、工作重点及措施</w:t>
      </w:r>
    </w:p>
    <w:p>
      <w:pPr>
        <w:spacing w:line="360" w:lineRule="auto"/>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认真研读考试说明，以便明确高考的命题指导思想、考查内容、试题类型、深难度和比例以及考查能力的层次要求等。</w:t>
      </w:r>
    </w:p>
    <w:p>
      <w:pPr>
        <w:spacing w:line="360" w:lineRule="auto"/>
        <w:rPr>
          <w:rFonts w:hint="default" w:ascii="宋体" w:hAnsi="宋体"/>
          <w:szCs w:val="21"/>
          <w:lang w:val="en-US" w:eastAsia="zh-CN"/>
        </w:rPr>
      </w:pPr>
      <w:r>
        <w:rPr>
          <w:rFonts w:hint="eastAsia" w:ascii="宋体" w:hAnsi="宋体"/>
          <w:szCs w:val="21"/>
          <w:lang w:val="en-US" w:eastAsia="zh-CN"/>
        </w:rPr>
        <w:t>2、认真研究八省联考、一模、二模以及各地方模拟试题，发现它们命题的特点、试题类型、考查的方式和能力要求等，从而理清复习思路，制定相应的二轮复习计划。</w:t>
      </w:r>
    </w:p>
    <w:p>
      <w:pPr>
        <w:spacing w:line="360" w:lineRule="auto"/>
        <w:rPr>
          <w:rFonts w:ascii="宋体" w:hAnsi="宋体" w:cs="Tahoma"/>
          <w:b/>
          <w:szCs w:val="21"/>
        </w:rPr>
      </w:pPr>
      <w:r>
        <w:rPr>
          <w:rFonts w:hint="eastAsia" w:ascii="宋体" w:hAnsi="宋体" w:cs="宋体"/>
          <w:kern w:val="0"/>
          <w:szCs w:val="21"/>
          <w:lang w:val="en-US" w:eastAsia="zh-CN"/>
        </w:rPr>
        <w:t>3</w:t>
      </w:r>
      <w:r>
        <w:rPr>
          <w:rFonts w:hint="eastAsia" w:ascii="宋体" w:hAnsi="宋体" w:cs="宋体"/>
          <w:kern w:val="0"/>
          <w:szCs w:val="21"/>
        </w:rPr>
        <w:t>、由于物理学科理解性强，加之</w:t>
      </w:r>
      <w:r>
        <w:rPr>
          <w:rFonts w:hint="eastAsia" w:ascii="宋体" w:hAnsi="宋体" w:cs="宋体"/>
          <w:kern w:val="0"/>
          <w:szCs w:val="21"/>
          <w:lang w:val="en-US" w:eastAsia="zh-CN"/>
        </w:rPr>
        <w:t>八省联考</w:t>
      </w:r>
      <w:r>
        <w:rPr>
          <w:rFonts w:hint="eastAsia" w:ascii="宋体" w:hAnsi="宋体" w:cs="宋体"/>
          <w:kern w:val="0"/>
          <w:szCs w:val="21"/>
        </w:rPr>
        <w:t>暴露出的问题，多数学生对物理产生了畏惧情绪，为此本学期多在班级介绍学习方法，做学生思想工作，使学生对物理有深刻认识，探索学习物理的规律和方法，做一名主动的求知者，做好思想工作，坚定学好物理的信心。</w:t>
      </w:r>
    </w:p>
    <w:p>
      <w:pPr>
        <w:spacing w:line="360" w:lineRule="auto"/>
        <w:rPr>
          <w:rFonts w:ascii="宋体" w:hAnsi="宋体"/>
          <w:szCs w:val="21"/>
        </w:rPr>
      </w:pPr>
      <w:r>
        <w:rPr>
          <w:rFonts w:hint="eastAsia" w:ascii="宋体" w:hAnsi="宋体"/>
          <w:szCs w:val="21"/>
          <w:lang w:val="en-US" w:eastAsia="zh-CN"/>
        </w:rPr>
        <w:t>4</w:t>
      </w:r>
      <w:r>
        <w:rPr>
          <w:rFonts w:hint="eastAsia" w:ascii="宋体" w:hAnsi="宋体"/>
          <w:szCs w:val="21"/>
        </w:rPr>
        <w:t>、加强集体备课，统一教学案，搞好教学协作，充分发挥集体的力量，发扬公平竞争，取长补短，友好合作的精神，共同提高。本学期伊始，在全体物理教师的共同协作下，把本学期教学内容做个系统的分析，把每一章节的知识点都进行研究，根据其难易程度，以及在物理知识体系中所占的位置，赋予相应的教学时间，结合校历的安排，精打细算，制定出详细的教学进度表。</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、进一步展开组内推磨听课，随时准备行政领导随堂听课。根据本学期的教学内容，组内陆续安排教师上公开课。老教师要上示范课,观摩课</w:t>
      </w:r>
      <w:r>
        <w:rPr>
          <w:rFonts w:hint="eastAsia" w:ascii="宋体" w:hAnsi="宋体"/>
          <w:szCs w:val="21"/>
          <w:lang w:eastAsia="zh-CN"/>
        </w:rPr>
        <w:t>；</w:t>
      </w:r>
      <w:r>
        <w:rPr>
          <w:rFonts w:hint="eastAsia" w:ascii="宋体" w:hAnsi="宋体"/>
          <w:szCs w:val="21"/>
        </w:rPr>
        <w:t>年轻教师上展示课、研究课，本组老师必须全员参加。</w:t>
      </w:r>
    </w:p>
    <w:p>
      <w:pPr>
        <w:widowControl/>
        <w:spacing w:line="360" w:lineRule="auto"/>
        <w:jc w:val="left"/>
        <w:rPr>
          <w:rFonts w:ascii="宋体" w:hAnsi="宋体" w:cs="宋体"/>
          <w:kern w:val="0"/>
          <w:szCs w:val="21"/>
        </w:rPr>
      </w:pPr>
      <w:r>
        <w:rPr>
          <w:rFonts w:hint="eastAsia" w:ascii="宋体" w:hAnsi="宋体"/>
          <w:kern w:val="0"/>
          <w:szCs w:val="21"/>
          <w:lang w:val="en-US" w:eastAsia="zh-CN"/>
        </w:rPr>
        <w:t>6</w:t>
      </w:r>
      <w:r>
        <w:rPr>
          <w:rFonts w:hint="eastAsia" w:ascii="宋体" w:hAnsi="宋体"/>
          <w:kern w:val="0"/>
          <w:szCs w:val="21"/>
        </w:rPr>
        <w:t>、</w:t>
      </w:r>
      <w:r>
        <w:rPr>
          <w:rFonts w:hint="eastAsia" w:ascii="宋体" w:hAnsi="宋体" w:cs="宋体"/>
          <w:kern w:val="0"/>
          <w:szCs w:val="21"/>
          <w:lang w:val="en-US" w:eastAsia="zh-CN"/>
        </w:rPr>
        <w:t>周周练</w:t>
      </w:r>
      <w:r>
        <w:rPr>
          <w:rFonts w:hint="eastAsia" w:ascii="宋体" w:hAnsi="宋体" w:cs="宋体"/>
          <w:kern w:val="0"/>
          <w:szCs w:val="21"/>
        </w:rPr>
        <w:t>和课堂作业布置必批改，课内评讲与讨论，每两周布置一次周末卷练习.</w:t>
      </w:r>
    </w:p>
    <w:p>
      <w:pPr>
        <w:spacing w:line="360" w:lineRule="auto"/>
        <w:jc w:val="left"/>
        <w:rPr>
          <w:rFonts w:ascii="宋体" w:hAnsi="宋体"/>
          <w:b/>
          <w:szCs w:val="21"/>
        </w:rPr>
      </w:pPr>
      <w:r>
        <w:rPr>
          <w:rFonts w:hint="eastAsia" w:ascii="宋体" w:hAnsi="宋体"/>
          <w:b/>
          <w:szCs w:val="21"/>
        </w:rPr>
        <w:t>四、备课分工表</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章节</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主备人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专题一 力与运动</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叶贵梅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专题二 功和能</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戴颖昱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专题三 电场与磁场</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李久保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专题四 电路与电磁感应</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翟羽佳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专题五 动量 近代物理</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朱龙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专题六 热学</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叶贵梅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专题七 机械振动与机械波 光学</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朱龙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专题八 力学实验</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戴颖昱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专题九 电学实验</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李久保</w:t>
            </w:r>
          </w:p>
        </w:tc>
      </w:tr>
    </w:tbl>
    <w:p>
      <w:pPr>
        <w:numPr>
          <w:ilvl w:val="0"/>
          <w:numId w:val="1"/>
        </w:numPr>
        <w:spacing w:line="360" w:lineRule="auto"/>
        <w:rPr>
          <w:rFonts w:hint="eastAsia" w:ascii="宋体" w:hAnsi="宋体"/>
          <w:b/>
          <w:szCs w:val="21"/>
        </w:rPr>
      </w:pPr>
      <w:r>
        <w:rPr>
          <w:rFonts w:hint="eastAsia" w:ascii="宋体" w:hAnsi="宋体"/>
          <w:b/>
          <w:szCs w:val="21"/>
        </w:rPr>
        <w:t>教学进度表</w:t>
      </w:r>
    </w:p>
    <w:tbl>
      <w:tblPr>
        <w:tblStyle w:val="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18"/>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trPr>
        <w:tc>
          <w:tcPr>
            <w:tcW w:w="2095" w:type="dxa"/>
            <w:gridSpan w:val="2"/>
            <w:noWrap w:val="0"/>
            <w:vAlign w:val="center"/>
          </w:tcPr>
          <w:p>
            <w:pPr>
              <w:rPr>
                <w:kern w:val="0"/>
                <w:szCs w:val="21"/>
              </w:rPr>
            </w:pPr>
          </w:p>
        </w:tc>
        <w:tc>
          <w:tcPr>
            <w:tcW w:w="6464" w:type="dxa"/>
            <w:noWrap w:val="0"/>
            <w:vAlign w:val="top"/>
          </w:tcPr>
          <w:p>
            <w:pPr>
              <w:jc w:val="center"/>
              <w:rPr>
                <w:rFonts w:hint="eastAsia"/>
                <w:kern w:val="0"/>
                <w:szCs w:val="21"/>
              </w:rPr>
            </w:pPr>
            <w:r>
              <w:rPr>
                <w:rFonts w:hint="eastAsia"/>
                <w:b/>
                <w:szCs w:val="21"/>
              </w:rPr>
              <w:t>课时计划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28</w:t>
            </w:r>
          </w:p>
        </w:tc>
        <w:tc>
          <w:tcPr>
            <w:tcW w:w="918" w:type="dxa"/>
            <w:noWrap w:val="0"/>
            <w:vAlign w:val="top"/>
          </w:tcPr>
          <w:p>
            <w:pPr>
              <w:rPr>
                <w:kern w:val="0"/>
                <w:sz w:val="21"/>
                <w:szCs w:val="21"/>
              </w:rPr>
            </w:pPr>
            <w:r>
              <w:rPr>
                <w:kern w:val="0"/>
                <w:sz w:val="21"/>
                <w:szCs w:val="21"/>
              </w:rPr>
              <w:t>第1周</w:t>
            </w:r>
          </w:p>
        </w:tc>
        <w:tc>
          <w:tcPr>
            <w:tcW w:w="6464" w:type="dxa"/>
            <w:noWrap w:val="0"/>
            <w:vAlign w:val="top"/>
          </w:tcPr>
          <w:p>
            <w:pPr>
              <w:rPr>
                <w:rFonts w:hint="default" w:eastAsiaTheme="minorEastAsia"/>
                <w:kern w:val="0"/>
                <w:sz w:val="21"/>
                <w:szCs w:val="21"/>
                <w:lang w:val="en-US" w:eastAsia="zh-CN"/>
              </w:rPr>
            </w:pPr>
            <w:r>
              <w:rPr>
                <w:rFonts w:hint="eastAsia"/>
                <w:kern w:val="0"/>
                <w:sz w:val="21"/>
                <w:szCs w:val="21"/>
                <w:lang w:val="en-US" w:eastAsia="zh-CN"/>
              </w:rPr>
              <w:t>一模考试及试卷讲解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7</w:t>
            </w:r>
          </w:p>
        </w:tc>
        <w:tc>
          <w:tcPr>
            <w:tcW w:w="918" w:type="dxa"/>
            <w:noWrap w:val="0"/>
            <w:vAlign w:val="top"/>
          </w:tcPr>
          <w:p>
            <w:pPr>
              <w:rPr>
                <w:kern w:val="0"/>
                <w:sz w:val="21"/>
                <w:szCs w:val="21"/>
              </w:rPr>
            </w:pPr>
            <w:r>
              <w:rPr>
                <w:kern w:val="0"/>
                <w:sz w:val="21"/>
                <w:szCs w:val="21"/>
              </w:rPr>
              <w:t>第2周</w:t>
            </w:r>
          </w:p>
        </w:tc>
        <w:tc>
          <w:tcPr>
            <w:tcW w:w="6464" w:type="dxa"/>
            <w:noWrap w:val="0"/>
            <w:vAlign w:val="top"/>
          </w:tcPr>
          <w:p>
            <w:pPr>
              <w:rPr>
                <w:rFonts w:hint="default" w:ascii="宋体" w:hAnsi="宋体" w:eastAsiaTheme="minorEastAsia" w:cstheme="minorBidi"/>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3原子结构 原子核  12.1分子动理论 内能用油膜法估测分子的大小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14</w:t>
            </w:r>
          </w:p>
        </w:tc>
        <w:tc>
          <w:tcPr>
            <w:tcW w:w="918" w:type="dxa"/>
            <w:noWrap w:val="0"/>
            <w:vAlign w:val="top"/>
          </w:tcPr>
          <w:p>
            <w:pPr>
              <w:rPr>
                <w:kern w:val="0"/>
                <w:sz w:val="21"/>
                <w:szCs w:val="21"/>
              </w:rPr>
            </w:pPr>
            <w:r>
              <w:rPr>
                <w:kern w:val="0"/>
                <w:sz w:val="21"/>
                <w:szCs w:val="21"/>
              </w:rPr>
              <w:t>第3周</w:t>
            </w:r>
          </w:p>
        </w:tc>
        <w:tc>
          <w:tcPr>
            <w:tcW w:w="6464" w:type="dxa"/>
            <w:noWrap w:val="0"/>
            <w:vAlign w:val="top"/>
          </w:tcPr>
          <w:p>
            <w:pPr>
              <w:rPr>
                <w:rFonts w:hint="default" w:eastAsiaTheme="minorEastAsia"/>
                <w:kern w:val="0"/>
                <w:sz w:val="21"/>
                <w:szCs w:val="21"/>
                <w:lang w:val="en-US" w:eastAsia="zh-CN"/>
              </w:rPr>
            </w:pPr>
            <w:r>
              <w:rPr>
                <w:rFonts w:hint="eastAsia"/>
                <w:kern w:val="0"/>
                <w:sz w:val="21"/>
                <w:szCs w:val="21"/>
                <w:lang w:val="en-US" w:eastAsia="zh-CN"/>
              </w:rPr>
              <w:t>12.2固体 液体和气体 12.3热力学定律与能量守恒定律 13.1 机械振动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21</w:t>
            </w:r>
          </w:p>
        </w:tc>
        <w:tc>
          <w:tcPr>
            <w:tcW w:w="918" w:type="dxa"/>
            <w:noWrap w:val="0"/>
            <w:vAlign w:val="top"/>
          </w:tcPr>
          <w:p>
            <w:pPr>
              <w:rPr>
                <w:kern w:val="0"/>
                <w:sz w:val="21"/>
                <w:szCs w:val="21"/>
              </w:rPr>
            </w:pPr>
            <w:r>
              <w:rPr>
                <w:kern w:val="0"/>
                <w:sz w:val="21"/>
                <w:szCs w:val="21"/>
              </w:rPr>
              <w:t>第4周</w:t>
            </w:r>
          </w:p>
        </w:tc>
        <w:tc>
          <w:tcPr>
            <w:tcW w:w="6464" w:type="dxa"/>
            <w:noWrap w:val="0"/>
            <w:vAlign w:val="top"/>
          </w:tcPr>
          <w:p>
            <w:pPr>
              <w:rPr>
                <w:rFonts w:hint="default" w:eastAsiaTheme="minorEastAsia"/>
                <w:kern w:val="0"/>
                <w:sz w:val="21"/>
                <w:szCs w:val="21"/>
                <w:lang w:val="en-US" w:eastAsia="zh-CN"/>
              </w:rPr>
            </w:pPr>
            <w:r>
              <w:rPr>
                <w:rFonts w:hint="eastAsia" w:ascii="宋体" w:hAnsi="宋体"/>
                <w:sz w:val="21"/>
                <w:szCs w:val="21"/>
                <w:lang w:val="en-US" w:eastAsia="zh-CN"/>
              </w:rPr>
              <w:t>13.2机械波 13.3光的折射 全反射 测定玻璃的折射率 13.4光的波动性 电磁波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28</w:t>
            </w:r>
          </w:p>
        </w:tc>
        <w:tc>
          <w:tcPr>
            <w:tcW w:w="918" w:type="dxa"/>
            <w:noWrap w:val="0"/>
            <w:vAlign w:val="top"/>
          </w:tcPr>
          <w:p>
            <w:pPr>
              <w:rPr>
                <w:kern w:val="0"/>
                <w:sz w:val="21"/>
                <w:szCs w:val="21"/>
              </w:rPr>
            </w:pPr>
            <w:r>
              <w:rPr>
                <w:kern w:val="0"/>
                <w:sz w:val="21"/>
                <w:szCs w:val="21"/>
              </w:rPr>
              <w:t>第5周</w:t>
            </w:r>
          </w:p>
        </w:tc>
        <w:tc>
          <w:tcPr>
            <w:tcW w:w="6464" w:type="dxa"/>
            <w:noWrap w:val="0"/>
            <w:vAlign w:val="top"/>
          </w:tcPr>
          <w:p>
            <w:pPr>
              <w:rPr>
                <w:rFonts w:hint="eastAsia" w:eastAsiaTheme="minorEastAsia"/>
                <w:kern w:val="0"/>
                <w:sz w:val="21"/>
                <w:szCs w:val="21"/>
                <w:lang w:val="en-US" w:eastAsia="zh-CN"/>
              </w:rPr>
            </w:pPr>
            <w:r>
              <w:rPr>
                <w:rFonts w:hint="eastAsia" w:ascii="宋体" w:hAnsi="宋体"/>
                <w:sz w:val="21"/>
                <w:szCs w:val="21"/>
                <w:lang w:val="en-US" w:eastAsia="zh-CN"/>
              </w:rPr>
              <w:t>专题一 力与运动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p>
        </w:tc>
        <w:tc>
          <w:tcPr>
            <w:tcW w:w="918" w:type="dxa"/>
            <w:noWrap w:val="0"/>
            <w:vAlign w:val="top"/>
          </w:tcPr>
          <w:p>
            <w:pPr>
              <w:rPr>
                <w:kern w:val="0"/>
                <w:sz w:val="21"/>
                <w:szCs w:val="21"/>
              </w:rPr>
            </w:pPr>
            <w:r>
              <w:rPr>
                <w:kern w:val="0"/>
                <w:sz w:val="21"/>
                <w:szCs w:val="21"/>
              </w:rPr>
              <w:t>第6周</w:t>
            </w:r>
          </w:p>
        </w:tc>
        <w:tc>
          <w:tcPr>
            <w:tcW w:w="6464" w:type="dxa"/>
            <w:noWrap w:val="0"/>
            <w:vAlign w:val="top"/>
          </w:tcPr>
          <w:p>
            <w:pPr>
              <w:rPr>
                <w:rFonts w:hint="default" w:eastAsiaTheme="minorEastAsia"/>
                <w:kern w:val="0"/>
                <w:sz w:val="21"/>
                <w:szCs w:val="21"/>
                <w:lang w:val="en-US" w:eastAsia="zh-CN"/>
              </w:rPr>
            </w:pPr>
            <w:r>
              <w:rPr>
                <w:rFonts w:hint="eastAsia" w:ascii="宋体" w:hAnsi="宋体"/>
                <w:sz w:val="21"/>
                <w:szCs w:val="21"/>
                <w:lang w:val="en-US" w:eastAsia="zh-CN"/>
              </w:rPr>
              <w:t>专题二 功和能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11</w:t>
            </w:r>
          </w:p>
        </w:tc>
        <w:tc>
          <w:tcPr>
            <w:tcW w:w="918" w:type="dxa"/>
            <w:noWrap w:val="0"/>
            <w:vAlign w:val="top"/>
          </w:tcPr>
          <w:p>
            <w:pPr>
              <w:rPr>
                <w:kern w:val="0"/>
                <w:sz w:val="21"/>
                <w:szCs w:val="21"/>
              </w:rPr>
            </w:pPr>
            <w:r>
              <w:rPr>
                <w:kern w:val="0"/>
                <w:sz w:val="21"/>
                <w:szCs w:val="21"/>
              </w:rPr>
              <w:t>第7周</w:t>
            </w:r>
          </w:p>
        </w:tc>
        <w:tc>
          <w:tcPr>
            <w:tcW w:w="6464" w:type="dxa"/>
            <w:noWrap w:val="0"/>
            <w:vAlign w:val="top"/>
          </w:tcPr>
          <w:p>
            <w:pPr>
              <w:rPr>
                <w:rFonts w:hint="eastAsia" w:eastAsiaTheme="minorEastAsia"/>
                <w:kern w:val="0"/>
                <w:sz w:val="21"/>
                <w:szCs w:val="21"/>
                <w:lang w:val="en-US" w:eastAsia="zh-CN"/>
              </w:rPr>
            </w:pPr>
            <w:r>
              <w:rPr>
                <w:rFonts w:hint="eastAsia" w:ascii="宋体" w:hAnsi="宋体"/>
                <w:sz w:val="21"/>
                <w:szCs w:val="21"/>
                <w:lang w:val="en-US" w:eastAsia="zh-CN"/>
              </w:rPr>
              <w:t>专题三 电场与磁场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18</w:t>
            </w:r>
          </w:p>
        </w:tc>
        <w:tc>
          <w:tcPr>
            <w:tcW w:w="918" w:type="dxa"/>
            <w:noWrap w:val="0"/>
            <w:vAlign w:val="top"/>
          </w:tcPr>
          <w:p>
            <w:pPr>
              <w:rPr>
                <w:kern w:val="0"/>
                <w:sz w:val="21"/>
                <w:szCs w:val="21"/>
              </w:rPr>
            </w:pPr>
            <w:r>
              <w:rPr>
                <w:kern w:val="0"/>
                <w:sz w:val="21"/>
                <w:szCs w:val="21"/>
              </w:rPr>
              <w:t>第8周</w:t>
            </w:r>
          </w:p>
        </w:tc>
        <w:tc>
          <w:tcPr>
            <w:tcW w:w="6464" w:type="dxa"/>
            <w:noWrap w:val="0"/>
            <w:vAlign w:val="top"/>
          </w:tcPr>
          <w:p>
            <w:pPr>
              <w:rPr>
                <w:rFonts w:hint="default" w:eastAsia="宋体"/>
                <w:kern w:val="0"/>
                <w:sz w:val="21"/>
                <w:szCs w:val="21"/>
                <w:lang w:val="en-US" w:eastAsia="zh-CN"/>
              </w:rPr>
            </w:pPr>
            <w:r>
              <w:rPr>
                <w:rFonts w:hint="eastAsia" w:ascii="宋体" w:hAnsi="宋体"/>
                <w:sz w:val="21"/>
                <w:szCs w:val="21"/>
                <w:lang w:val="en-US" w:eastAsia="zh-CN"/>
              </w:rPr>
              <w:t>专题四 电路与电磁感应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25</w:t>
            </w:r>
          </w:p>
        </w:tc>
        <w:tc>
          <w:tcPr>
            <w:tcW w:w="918" w:type="dxa"/>
            <w:noWrap w:val="0"/>
            <w:vAlign w:val="top"/>
          </w:tcPr>
          <w:p>
            <w:pPr>
              <w:rPr>
                <w:kern w:val="0"/>
                <w:sz w:val="21"/>
                <w:szCs w:val="21"/>
              </w:rPr>
            </w:pPr>
            <w:r>
              <w:rPr>
                <w:kern w:val="0"/>
                <w:sz w:val="21"/>
                <w:szCs w:val="21"/>
              </w:rPr>
              <w:t>第9周</w:t>
            </w:r>
          </w:p>
        </w:tc>
        <w:tc>
          <w:tcPr>
            <w:tcW w:w="6464" w:type="dxa"/>
            <w:noWrap w:val="0"/>
            <w:vAlign w:val="top"/>
          </w:tcPr>
          <w:p>
            <w:pPr>
              <w:rPr>
                <w:rFonts w:hint="default" w:eastAsiaTheme="minorEastAsia"/>
                <w:kern w:val="0"/>
                <w:sz w:val="21"/>
                <w:szCs w:val="21"/>
                <w:lang w:val="en-US" w:eastAsia="zh-CN"/>
              </w:rPr>
            </w:pPr>
            <w:r>
              <w:rPr>
                <w:rFonts w:hint="eastAsia" w:ascii="宋体" w:hAnsi="宋体"/>
                <w:sz w:val="21"/>
                <w:szCs w:val="21"/>
                <w:lang w:val="en-US" w:eastAsia="zh-CN"/>
              </w:rPr>
              <w:t>二模考试及试卷讲解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p>
        </w:tc>
        <w:tc>
          <w:tcPr>
            <w:tcW w:w="918" w:type="dxa"/>
            <w:noWrap w:val="0"/>
            <w:vAlign w:val="top"/>
          </w:tcPr>
          <w:p>
            <w:pPr>
              <w:rPr>
                <w:kern w:val="0"/>
                <w:sz w:val="21"/>
                <w:szCs w:val="21"/>
              </w:rPr>
            </w:pPr>
            <w:r>
              <w:rPr>
                <w:kern w:val="0"/>
                <w:sz w:val="21"/>
                <w:szCs w:val="21"/>
              </w:rPr>
              <w:t>第10周</w:t>
            </w:r>
          </w:p>
        </w:tc>
        <w:tc>
          <w:tcPr>
            <w:tcW w:w="6464" w:type="dxa"/>
            <w:noWrap w:val="0"/>
            <w:vAlign w:val="top"/>
          </w:tcPr>
          <w:p>
            <w:pPr>
              <w:rPr>
                <w:rFonts w:hint="default" w:ascii="宋体" w:hAnsi="宋体" w:eastAsiaTheme="minorEastAsia" w:cstheme="minorBidi"/>
                <w:kern w:val="2"/>
                <w:sz w:val="21"/>
                <w:szCs w:val="21"/>
                <w:lang w:val="en-US" w:eastAsia="zh-CN" w:bidi="ar-SA"/>
              </w:rPr>
            </w:pPr>
            <w:r>
              <w:rPr>
                <w:rFonts w:hint="eastAsia" w:ascii="宋体" w:hAnsi="宋体"/>
                <w:sz w:val="21"/>
                <w:szCs w:val="21"/>
                <w:lang w:val="en-US" w:eastAsia="zh-CN"/>
              </w:rPr>
              <w:t>专题五 动量 近代物理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9</w:t>
            </w:r>
          </w:p>
        </w:tc>
        <w:tc>
          <w:tcPr>
            <w:tcW w:w="918" w:type="dxa"/>
            <w:noWrap w:val="0"/>
            <w:vAlign w:val="top"/>
          </w:tcPr>
          <w:p>
            <w:pPr>
              <w:rPr>
                <w:kern w:val="0"/>
                <w:sz w:val="21"/>
                <w:szCs w:val="21"/>
              </w:rPr>
            </w:pPr>
            <w:r>
              <w:rPr>
                <w:kern w:val="0"/>
                <w:sz w:val="21"/>
                <w:szCs w:val="21"/>
              </w:rPr>
              <w:t>第11周</w:t>
            </w:r>
          </w:p>
        </w:tc>
        <w:tc>
          <w:tcPr>
            <w:tcW w:w="6464" w:type="dxa"/>
            <w:noWrap w:val="0"/>
            <w:vAlign w:val="top"/>
          </w:tcPr>
          <w:p>
            <w:pPr>
              <w:rPr>
                <w:rFonts w:hint="eastAsia"/>
                <w:kern w:val="0"/>
                <w:sz w:val="21"/>
                <w:szCs w:val="21"/>
              </w:rPr>
            </w:pPr>
            <w:r>
              <w:rPr>
                <w:rFonts w:hint="eastAsia" w:ascii="宋体" w:hAnsi="宋体"/>
                <w:sz w:val="21"/>
                <w:szCs w:val="21"/>
                <w:lang w:val="en-US" w:eastAsia="zh-CN"/>
              </w:rPr>
              <w:t>三模考试及试卷讲解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16</w:t>
            </w:r>
          </w:p>
        </w:tc>
        <w:tc>
          <w:tcPr>
            <w:tcW w:w="918" w:type="dxa"/>
            <w:noWrap w:val="0"/>
            <w:vAlign w:val="top"/>
          </w:tcPr>
          <w:p>
            <w:pPr>
              <w:rPr>
                <w:kern w:val="0"/>
                <w:sz w:val="21"/>
                <w:szCs w:val="21"/>
              </w:rPr>
            </w:pPr>
            <w:r>
              <w:rPr>
                <w:kern w:val="0"/>
                <w:sz w:val="21"/>
                <w:szCs w:val="21"/>
              </w:rPr>
              <w:t>第12周</w:t>
            </w:r>
          </w:p>
        </w:tc>
        <w:tc>
          <w:tcPr>
            <w:tcW w:w="6464" w:type="dxa"/>
            <w:noWrap w:val="0"/>
            <w:vAlign w:val="top"/>
          </w:tcPr>
          <w:p>
            <w:pPr>
              <w:rPr>
                <w:rFonts w:hint="eastAsia"/>
                <w:kern w:val="0"/>
                <w:sz w:val="21"/>
                <w:szCs w:val="21"/>
              </w:rPr>
            </w:pPr>
            <w:r>
              <w:rPr>
                <w:rFonts w:hint="eastAsia" w:ascii="宋体" w:hAnsi="宋体"/>
                <w:sz w:val="21"/>
                <w:szCs w:val="21"/>
                <w:lang w:val="en-US" w:eastAsia="zh-CN"/>
              </w:rPr>
              <w:t>专题六 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3</w:t>
            </w:r>
          </w:p>
        </w:tc>
        <w:tc>
          <w:tcPr>
            <w:tcW w:w="918" w:type="dxa"/>
            <w:noWrap w:val="0"/>
            <w:vAlign w:val="top"/>
          </w:tcPr>
          <w:p>
            <w:pPr>
              <w:rPr>
                <w:kern w:val="0"/>
                <w:sz w:val="21"/>
                <w:szCs w:val="21"/>
              </w:rPr>
            </w:pPr>
            <w:r>
              <w:rPr>
                <w:kern w:val="0"/>
                <w:sz w:val="21"/>
                <w:szCs w:val="21"/>
              </w:rPr>
              <w:t>第13周</w:t>
            </w:r>
          </w:p>
        </w:tc>
        <w:tc>
          <w:tcPr>
            <w:tcW w:w="6464" w:type="dxa"/>
            <w:noWrap w:val="0"/>
            <w:vAlign w:val="top"/>
          </w:tcPr>
          <w:p>
            <w:pPr>
              <w:rPr>
                <w:rFonts w:hint="eastAsia"/>
                <w:kern w:val="0"/>
                <w:sz w:val="21"/>
                <w:szCs w:val="21"/>
              </w:rPr>
            </w:pPr>
            <w:r>
              <w:rPr>
                <w:rFonts w:hint="eastAsia" w:ascii="宋体" w:hAnsi="宋体"/>
                <w:sz w:val="21"/>
                <w:szCs w:val="21"/>
                <w:lang w:val="en-US" w:eastAsia="zh-CN"/>
              </w:rPr>
              <w:t>专题七 机械振动与机械波 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30</w:t>
            </w:r>
          </w:p>
        </w:tc>
        <w:tc>
          <w:tcPr>
            <w:tcW w:w="918" w:type="dxa"/>
            <w:noWrap w:val="0"/>
            <w:vAlign w:val="top"/>
          </w:tcPr>
          <w:p>
            <w:pPr>
              <w:rPr>
                <w:kern w:val="0"/>
                <w:sz w:val="21"/>
                <w:szCs w:val="21"/>
              </w:rPr>
            </w:pPr>
            <w:r>
              <w:rPr>
                <w:kern w:val="0"/>
                <w:sz w:val="21"/>
                <w:szCs w:val="21"/>
              </w:rPr>
              <w:t>第14周</w:t>
            </w:r>
          </w:p>
        </w:tc>
        <w:tc>
          <w:tcPr>
            <w:tcW w:w="6464" w:type="dxa"/>
            <w:noWrap w:val="0"/>
            <w:vAlign w:val="top"/>
          </w:tcPr>
          <w:p>
            <w:pPr>
              <w:rPr>
                <w:rFonts w:hint="default" w:eastAsia="宋体"/>
                <w:kern w:val="0"/>
                <w:sz w:val="21"/>
                <w:szCs w:val="21"/>
                <w:lang w:val="en-US" w:eastAsia="zh-CN"/>
              </w:rPr>
            </w:pPr>
            <w:r>
              <w:rPr>
                <w:rFonts w:hint="eastAsia" w:ascii="宋体" w:hAnsi="宋体"/>
                <w:sz w:val="21"/>
                <w:szCs w:val="21"/>
                <w:lang w:val="en-US" w:eastAsia="zh-CN"/>
              </w:rPr>
              <w:t>专题八 力学实验、专题九 电学实验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6</w:t>
            </w:r>
          </w:p>
        </w:tc>
        <w:tc>
          <w:tcPr>
            <w:tcW w:w="918" w:type="dxa"/>
            <w:noWrap w:val="0"/>
            <w:vAlign w:val="top"/>
          </w:tcPr>
          <w:p>
            <w:pPr>
              <w:rPr>
                <w:kern w:val="0"/>
                <w:sz w:val="21"/>
                <w:szCs w:val="21"/>
              </w:rPr>
            </w:pPr>
            <w:r>
              <w:rPr>
                <w:kern w:val="0"/>
                <w:sz w:val="21"/>
                <w:szCs w:val="21"/>
              </w:rPr>
              <w:t>第15周</w:t>
            </w:r>
          </w:p>
        </w:tc>
        <w:tc>
          <w:tcPr>
            <w:tcW w:w="6464" w:type="dxa"/>
            <w:noWrap w:val="0"/>
            <w:vAlign w:val="top"/>
          </w:tcPr>
          <w:p>
            <w:pPr>
              <w:rPr>
                <w:rFonts w:hint="default" w:eastAsia="宋体"/>
                <w:kern w:val="0"/>
                <w:sz w:val="21"/>
                <w:szCs w:val="21"/>
                <w:lang w:val="en-US" w:eastAsia="zh-CN"/>
              </w:rPr>
            </w:pPr>
            <w:r>
              <w:rPr>
                <w:rFonts w:hint="eastAsia" w:eastAsia="宋体"/>
                <w:kern w:val="0"/>
                <w:sz w:val="21"/>
                <w:szCs w:val="21"/>
                <w:lang w:val="en-US" w:eastAsia="zh-CN"/>
              </w:rPr>
              <w:t>考前综合训练及考前指导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77" w:type="dxa"/>
            <w:noWrap w:val="0"/>
            <w:vAlign w:val="top"/>
          </w:tcPr>
          <w:p>
            <w:pPr>
              <w:jc w:val="center"/>
              <w:rPr>
                <w:kern w:val="0"/>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13</w:t>
            </w:r>
          </w:p>
        </w:tc>
        <w:tc>
          <w:tcPr>
            <w:tcW w:w="918" w:type="dxa"/>
            <w:noWrap w:val="0"/>
            <w:vAlign w:val="top"/>
          </w:tcPr>
          <w:p>
            <w:pPr>
              <w:rPr>
                <w:kern w:val="0"/>
                <w:sz w:val="21"/>
                <w:szCs w:val="21"/>
              </w:rPr>
            </w:pPr>
            <w:r>
              <w:rPr>
                <w:kern w:val="0"/>
                <w:sz w:val="21"/>
                <w:szCs w:val="21"/>
              </w:rPr>
              <w:t>第16周</w:t>
            </w:r>
          </w:p>
        </w:tc>
        <w:tc>
          <w:tcPr>
            <w:tcW w:w="6464" w:type="dxa"/>
            <w:noWrap w:val="0"/>
            <w:vAlign w:val="top"/>
          </w:tcPr>
          <w:p>
            <w:pPr>
              <w:rPr>
                <w:rFonts w:hint="default" w:eastAsia="宋体"/>
                <w:kern w:val="0"/>
                <w:sz w:val="21"/>
                <w:szCs w:val="21"/>
                <w:lang w:val="en-US" w:eastAsia="zh-CN"/>
              </w:rPr>
            </w:pPr>
            <w:r>
              <w:rPr>
                <w:rFonts w:hint="eastAsia"/>
                <w:kern w:val="0"/>
                <w:sz w:val="21"/>
                <w:szCs w:val="21"/>
                <w:lang w:val="en-US" w:eastAsia="zh-CN"/>
              </w:rPr>
              <w:t>高考</w:t>
            </w:r>
          </w:p>
        </w:tc>
      </w:tr>
    </w:tbl>
    <w:p>
      <w:pPr>
        <w:numPr>
          <w:ilvl w:val="0"/>
          <w:numId w:val="1"/>
        </w:numPr>
        <w:spacing w:line="360" w:lineRule="auto"/>
        <w:ind w:left="0" w:leftChars="0" w:firstLine="0" w:firstLineChars="0"/>
        <w:rPr>
          <w:rFonts w:hint="eastAsia" w:ascii="宋体" w:hAnsi="宋体"/>
          <w:b/>
          <w:szCs w:val="21"/>
        </w:rPr>
      </w:pPr>
      <w:r>
        <w:rPr>
          <w:rFonts w:hint="eastAsia" w:ascii="宋体" w:hAnsi="宋体"/>
          <w:b/>
          <w:szCs w:val="21"/>
        </w:rPr>
        <w:t>备课组</w:t>
      </w:r>
      <w:r>
        <w:rPr>
          <w:rFonts w:hint="eastAsia" w:ascii="宋体" w:hAnsi="宋体"/>
          <w:b/>
          <w:szCs w:val="21"/>
          <w:lang w:val="en-US" w:eastAsia="zh-CN"/>
        </w:rPr>
        <w:t>具体</w:t>
      </w:r>
      <w:r>
        <w:rPr>
          <w:rFonts w:hint="eastAsia" w:ascii="宋体" w:hAnsi="宋体"/>
          <w:b/>
          <w:szCs w:val="21"/>
        </w:rPr>
        <w:t>活动安排</w:t>
      </w:r>
    </w:p>
    <w:tbl>
      <w:tblPr>
        <w:tblStyle w:val="5"/>
        <w:tblW w:w="861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05"/>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周次</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28</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高三一模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7</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宋体" w:hAnsi="宋体"/>
                <w:sz w:val="21"/>
                <w:szCs w:val="21"/>
                <w:lang w:val="en-US" w:eastAsia="zh-CN"/>
              </w:rPr>
              <w:t>研讨：一模</w:t>
            </w:r>
            <w:r>
              <w:rPr>
                <w:rFonts w:hint="eastAsia" w:ascii="宋体" w:hAnsi="宋体"/>
                <w:sz w:val="21"/>
                <w:szCs w:val="21"/>
              </w:rPr>
              <w:t>考试情况分析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14</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高三教学视导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21</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李久保公开课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28</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宋体" w:hAnsi="宋体"/>
                <w:sz w:val="21"/>
                <w:szCs w:val="21"/>
                <w:lang w:val="en-US" w:eastAsia="zh-CN"/>
              </w:rPr>
              <w:t>研讨：专题复习措施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物理学科视导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11</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组内</w:t>
            </w:r>
            <w:r>
              <w:rPr>
                <w:rFonts w:hint="eastAsia" w:asciiTheme="minorEastAsia" w:hAnsiTheme="minorEastAsia" w:eastAsiaTheme="minorEastAsia" w:cstheme="minorEastAsia"/>
                <w:sz w:val="21"/>
                <w:szCs w:val="21"/>
              </w:rPr>
              <w:t>教学常规检查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18</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叶贵梅公开课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25</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高三</w:t>
            </w: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lang w:val="en-US" w:eastAsia="zh-CN"/>
              </w:rPr>
              <w:t>模（预计）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宋体" w:hAnsi="宋体"/>
                <w:sz w:val="21"/>
                <w:szCs w:val="21"/>
                <w:lang w:val="en-US" w:eastAsia="zh-CN"/>
              </w:rPr>
              <w:t>研讨：二模</w:t>
            </w:r>
            <w:r>
              <w:rPr>
                <w:rFonts w:hint="eastAsia" w:ascii="宋体" w:hAnsi="宋体"/>
                <w:sz w:val="21"/>
                <w:szCs w:val="21"/>
              </w:rPr>
              <w:t>考试情况分析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9</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高三三模（预计）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16</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宋体" w:hAnsi="宋体"/>
                <w:sz w:val="21"/>
                <w:szCs w:val="21"/>
                <w:lang w:val="en-US" w:eastAsia="zh-CN"/>
              </w:rPr>
              <w:t>研讨：三模</w:t>
            </w:r>
            <w:r>
              <w:rPr>
                <w:rFonts w:hint="eastAsia" w:ascii="宋体" w:hAnsi="宋体"/>
                <w:sz w:val="21"/>
                <w:szCs w:val="21"/>
              </w:rPr>
              <w:t>考试情况分析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3</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翟羽佳公开课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30</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组内</w:t>
            </w:r>
            <w:r>
              <w:rPr>
                <w:rFonts w:hint="eastAsia" w:asciiTheme="minorEastAsia" w:hAnsiTheme="minorEastAsia" w:eastAsiaTheme="minorEastAsia" w:cstheme="minorEastAsia"/>
                <w:sz w:val="21"/>
                <w:szCs w:val="21"/>
              </w:rPr>
              <w:t>教学常规检查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6</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朱龙公开课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305"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13</w:t>
            </w:r>
          </w:p>
        </w:tc>
        <w:tc>
          <w:tcPr>
            <w:tcW w:w="6249"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高考</w:t>
            </w:r>
          </w:p>
        </w:tc>
      </w:tr>
    </w:tbl>
    <w:p>
      <w:pPr>
        <w:spacing w:line="360" w:lineRule="auto"/>
        <w:rPr>
          <w:rFonts w:ascii="宋体" w:hAnsi="宋体"/>
          <w:b/>
          <w:szCs w:val="21"/>
        </w:rPr>
      </w:pPr>
      <w:r>
        <w:rPr>
          <w:rFonts w:hint="eastAsia" w:ascii="宋体" w:hAnsi="宋体"/>
          <w:b/>
          <w:szCs w:val="21"/>
        </w:rPr>
        <w:t xml:space="preserve">                                                             </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月2</w:t>
      </w:r>
      <w:r>
        <w:rPr>
          <w:rFonts w:hint="eastAsia" w:ascii="宋体" w:hAnsi="宋体"/>
          <w:szCs w:val="21"/>
          <w:lang w:val="en-US" w:eastAsia="zh-CN"/>
        </w:rPr>
        <w:t>2</w:t>
      </w:r>
      <w:r>
        <w:rPr>
          <w:rFonts w:hint="eastAsia" w:ascii="宋体" w:hAnsi="宋体"/>
          <w:szCs w:val="21"/>
        </w:rPr>
        <w:t>日</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09860"/>
    <w:multiLevelType w:val="singleLevel"/>
    <w:tmpl w:val="856098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554"/>
    <w:rsid w:val="00064AA9"/>
    <w:rsid w:val="00113CEB"/>
    <w:rsid w:val="003804DC"/>
    <w:rsid w:val="00A87554"/>
    <w:rsid w:val="00CE6C8E"/>
    <w:rsid w:val="00DF3F4E"/>
    <w:rsid w:val="085913B8"/>
    <w:rsid w:val="1C196F02"/>
    <w:rsid w:val="20A149C8"/>
    <w:rsid w:val="3DA43C89"/>
    <w:rsid w:val="404F22C9"/>
    <w:rsid w:val="41BF7A5D"/>
    <w:rsid w:val="631A47B9"/>
    <w:rsid w:val="7785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FC839-9059-4761-8A36-0A1B178A1D95}">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2090</Characters>
  <Lines>17</Lines>
  <Paragraphs>4</Paragraphs>
  <TotalTime>4</TotalTime>
  <ScaleCrop>false</ScaleCrop>
  <LinksUpToDate>false</LinksUpToDate>
  <CharactersWithSpaces>2452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2020-02-23T09:24:00Z</dcterms:created>
  <dc:creator>user</dc:creator>
  <cp:lastModifiedBy>翟羽佳</cp:lastModifiedBy>
  <dcterms:modified xsi:type="dcterms:W3CDTF">2021-02-22T02:41:36Z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