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2.3.3</w:t>
      </w:r>
      <w:r>
        <w:rPr>
          <w:rFonts w:hint="eastAsia"/>
          <w:b/>
          <w:bCs/>
          <w:sz w:val="32"/>
          <w:szCs w:val="32"/>
        </w:rPr>
        <w:t>　</w:t>
      </w:r>
      <w:r>
        <w:rPr>
          <w:b/>
          <w:bCs/>
          <w:sz w:val="32"/>
          <w:szCs w:val="32"/>
        </w:rPr>
        <w:t>等比数列的前</w:t>
      </w:r>
      <w:r>
        <w:rPr>
          <w:b/>
          <w:bCs/>
          <w:i/>
          <w:sz w:val="32"/>
          <w:szCs w:val="32"/>
        </w:rPr>
        <w:t>n</w:t>
      </w:r>
      <w:r>
        <w:rPr>
          <w:b/>
          <w:bCs/>
          <w:sz w:val="32"/>
          <w:szCs w:val="32"/>
        </w:rPr>
        <w:t>项和（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Style w:val="7"/>
          <w:rFonts w:hint="default" w:ascii="Times New Roman" w:hAnsi="Times New Roman" w:eastAsia="宋体" w:cs="Times New Roman"/>
          <w:color w:val="333333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主备人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  <w:lang w:val="en-US" w:eastAsia="zh-CN"/>
        </w:rPr>
        <w:t xml:space="preserve">柏寿俊    </w:t>
      </w:r>
    </w:p>
    <w:p>
      <w:pPr>
        <w:spacing w:line="360" w:lineRule="auto"/>
        <w:rPr>
          <w:b/>
          <w:bCs/>
          <w:color w:val="000000"/>
          <w:kern w:val="20"/>
          <w:sz w:val="24"/>
        </w:rPr>
      </w:pPr>
      <w:r>
        <w:rPr>
          <w:b/>
          <w:bCs/>
          <w:color w:val="000000"/>
          <w:kern w:val="20"/>
          <w:sz w:val="24"/>
        </w:rPr>
        <w:t>教学目标：</w:t>
      </w:r>
    </w:p>
    <w:p>
      <w:pPr>
        <w:spacing w:line="360" w:lineRule="auto"/>
        <w:ind w:left="239" w:leftChars="114" w:firstLine="360" w:firstLineChars="15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1．掌握等比数列前</w:t>
      </w:r>
      <w:r>
        <w:rPr>
          <w:i/>
          <w:sz w:val="24"/>
        </w:rPr>
        <w:t>n</w:t>
      </w:r>
      <w:r>
        <w:rPr>
          <w:rFonts w:ascii="宋体" w:hAnsi="宋体"/>
          <w:sz w:val="24"/>
        </w:rPr>
        <w:t>项和公式．</w:t>
      </w:r>
    </w:p>
    <w:p>
      <w:pPr>
        <w:spacing w:line="360" w:lineRule="auto"/>
        <w:ind w:firstLine="600" w:firstLineChars="250"/>
        <w:jc w:val="left"/>
        <w:rPr>
          <w:rFonts w:hint="eastAsia"/>
          <w:b/>
          <w:bCs/>
          <w:color w:val="000000"/>
          <w:kern w:val="20"/>
          <w:sz w:val="24"/>
        </w:rPr>
      </w:pPr>
      <w:r>
        <w:rPr>
          <w:rFonts w:ascii="宋体" w:hAnsi="宋体"/>
          <w:sz w:val="24"/>
        </w:rPr>
        <w:t>2．综</w:t>
      </w:r>
      <w:r>
        <w:rPr>
          <w:sz w:val="24"/>
        </w:rPr>
        <w:t>合运用等比数列的定义、通项公式、性质、前</w:t>
      </w:r>
      <w:r>
        <w:rPr>
          <w:i/>
          <w:sz w:val="24"/>
        </w:rPr>
        <w:t>n</w:t>
      </w:r>
      <w:r>
        <w:rPr>
          <w:sz w:val="24"/>
        </w:rPr>
        <w:t>项和公式解决相关的问题．</w:t>
      </w:r>
    </w:p>
    <w:p>
      <w:pPr>
        <w:spacing w:line="360" w:lineRule="auto"/>
        <w:jc w:val="left"/>
        <w:rPr>
          <w:rFonts w:hint="eastAsia"/>
          <w:b/>
          <w:bCs/>
          <w:color w:val="000000"/>
          <w:kern w:val="20"/>
          <w:sz w:val="24"/>
        </w:rPr>
      </w:pPr>
      <w:r>
        <w:rPr>
          <w:b/>
          <w:bCs/>
          <w:color w:val="000000"/>
          <w:kern w:val="20"/>
          <w:sz w:val="24"/>
        </w:rPr>
        <w:t>教学重点：</w:t>
      </w:r>
    </w:p>
    <w:p>
      <w:pPr>
        <w:spacing w:line="360" w:lineRule="auto"/>
        <w:ind w:firstLine="480" w:firstLineChars="200"/>
        <w:jc w:val="left"/>
        <w:rPr>
          <w:rFonts w:hint="eastAsia"/>
          <w:b/>
          <w:bCs/>
          <w:color w:val="000000"/>
          <w:kern w:val="20"/>
          <w:sz w:val="24"/>
        </w:rPr>
      </w:pPr>
      <w:r>
        <w:rPr>
          <w:sz w:val="24"/>
        </w:rPr>
        <w:t>进一步熟悉掌握等比数列的通项公式和前</w:t>
      </w:r>
      <w:r>
        <w:rPr>
          <w:i/>
          <w:sz w:val="24"/>
        </w:rPr>
        <w:t>n</w:t>
      </w:r>
      <w:r>
        <w:rPr>
          <w:sz w:val="24"/>
        </w:rPr>
        <w:t>项和公式的理解、推导及应用</w:t>
      </w:r>
      <w:r>
        <w:rPr>
          <w:bCs/>
          <w:sz w:val="24"/>
        </w:rPr>
        <w:t>．</w:t>
      </w:r>
    </w:p>
    <w:p>
      <w:pPr>
        <w:spacing w:line="360" w:lineRule="auto"/>
        <w:jc w:val="left"/>
        <w:rPr>
          <w:rFonts w:hint="eastAsia"/>
          <w:b/>
          <w:bCs/>
          <w:color w:val="000000"/>
          <w:kern w:val="20"/>
          <w:sz w:val="24"/>
        </w:rPr>
      </w:pPr>
      <w:r>
        <w:rPr>
          <w:b/>
          <w:bCs/>
          <w:color w:val="000000"/>
          <w:kern w:val="20"/>
          <w:sz w:val="24"/>
        </w:rPr>
        <w:t>教学难点</w:t>
      </w:r>
      <w:r>
        <w:rPr>
          <w:rFonts w:hint="eastAsia"/>
          <w:b/>
          <w:bCs/>
          <w:color w:val="000000"/>
          <w:kern w:val="20"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/>
          <w:b/>
          <w:sz w:val="24"/>
        </w:rPr>
      </w:pPr>
      <w:r>
        <w:rPr>
          <w:sz w:val="24"/>
        </w:rPr>
        <w:t>灵活应用相关知识解决有关问题</w:t>
      </w:r>
      <w:r>
        <w:rPr>
          <w:bCs/>
          <w:sz w:val="24"/>
        </w:rPr>
        <w:t>．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教学方法：</w:t>
      </w:r>
    </w:p>
    <w:p>
      <w:pPr>
        <w:spacing w:line="360" w:lineRule="auto"/>
        <w:ind w:firstLine="480" w:firstLineChars="200"/>
        <w:jc w:val="left"/>
        <w:rPr>
          <w:rFonts w:hint="eastAsia"/>
          <w:b/>
          <w:bCs/>
          <w:color w:val="000000"/>
          <w:kern w:val="20"/>
          <w:sz w:val="24"/>
        </w:rPr>
      </w:pPr>
      <w:r>
        <w:rPr>
          <w:rStyle w:val="8"/>
          <w:color w:val="000000"/>
          <w:sz w:val="24"/>
        </w:rPr>
        <w:t>采用启发式、讨论式以及讲练结合的教学方法</w:t>
      </w:r>
      <w:r>
        <w:rPr>
          <w:sz w:val="24"/>
        </w:rPr>
        <w:t>．</w:t>
      </w:r>
    </w:p>
    <w:p>
      <w:pPr>
        <w:spacing w:line="360" w:lineRule="auto"/>
        <w:jc w:val="left"/>
        <w:rPr>
          <w:b/>
          <w:bCs/>
          <w:color w:val="000000"/>
          <w:kern w:val="20"/>
          <w:sz w:val="24"/>
        </w:rPr>
      </w:pPr>
      <w:r>
        <w:rPr>
          <w:b/>
          <w:bCs/>
          <w:color w:val="000000"/>
          <w:kern w:val="20"/>
          <w:sz w:val="24"/>
        </w:rPr>
        <w:t>教学过程</w:t>
      </w:r>
    </w:p>
    <w:p>
      <w:pPr>
        <w:spacing w:before="78" w:beforeLines="25" w:line="360" w:lineRule="auto"/>
        <w:ind w:firstLine="480" w:firstLineChars="200"/>
        <w:rPr>
          <w:sz w:val="24"/>
        </w:rPr>
      </w:pPr>
      <w:r>
        <w:rPr>
          <w:sz w:val="24"/>
        </w:rPr>
        <w:t>一、复习引入：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1．等比数列求和公式：</w:t>
      </w:r>
      <w:r>
        <w:rPr>
          <w:rFonts w:ascii="宋体" w:hAnsi="宋体"/>
          <w:position w:val="-50"/>
          <w:sz w:val="24"/>
        </w:rPr>
        <w:object>
          <v:shape id="_x0000_i1025" o:spt="75" type="#_x0000_t75" style="height:56pt;width:143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2</w:t>
      </w:r>
      <w:r>
        <w:rPr>
          <w:sz w:val="24"/>
        </w:rPr>
        <w:t>．数学思想方法：错位相减，分类讨论．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二、学生活动：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热身训练：</w:t>
      </w:r>
    </w:p>
    <w:p>
      <w:pPr>
        <w:spacing w:line="360" w:lineRule="auto"/>
        <w:ind w:firstLine="480" w:firstLineChars="200"/>
        <w:rPr>
          <w:sz w:val="24"/>
        </w:rPr>
      </w:pPr>
      <w:bookmarkStart w:id="2" w:name="_GoBack"/>
      <w:r>
        <w:rPr>
          <w:rFonts w:hint="default"/>
          <w:position w:val="-146"/>
          <w:sz w:val="24"/>
          <w:lang w:val="en-US" w:eastAsia="zh-CN"/>
        </w:rPr>
        <w:object>
          <v:shape id="_x0000_i1039" o:spt="75" alt="" type="#_x0000_t75" style="height:138.55pt;width:402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9" DrawAspect="Content" ObjectID="_1468075726" r:id="rId7">
            <o:LockedField>false</o:LockedField>
          </o:OLEObject>
        </w:object>
      </w:r>
      <w:bookmarkEnd w:id="2"/>
      <w:r>
        <w:rPr>
          <w:rFonts w:hint="eastAsia"/>
          <w:sz w:val="24"/>
        </w:rPr>
        <w:t>三、</w:t>
      </w:r>
      <w:r>
        <w:rPr>
          <w:sz w:val="24"/>
        </w:rPr>
        <w:t>建构教学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ascii="宋体" w:hAnsi="宋体"/>
          <w:sz w:val="24"/>
        </w:rPr>
        <w:t>1．</w:t>
      </w:r>
      <w:r>
        <w:rPr>
          <w:bCs/>
          <w:sz w:val="24"/>
        </w:rPr>
        <w:t>等比数列通项</w:t>
      </w:r>
      <w:r>
        <w:rPr>
          <w:bCs/>
          <w:i/>
          <w:iCs/>
          <w:sz w:val="24"/>
        </w:rPr>
        <w:t>a</w:t>
      </w:r>
      <w:r>
        <w:rPr>
          <w:bCs/>
          <w:i/>
          <w:iCs/>
          <w:sz w:val="24"/>
          <w:vertAlign w:val="subscript"/>
        </w:rPr>
        <w:t>n</w:t>
      </w:r>
      <w:r>
        <w:rPr>
          <w:bCs/>
          <w:sz w:val="24"/>
        </w:rPr>
        <w:t>与前</w:t>
      </w:r>
      <w:r>
        <w:rPr>
          <w:bCs/>
          <w:i/>
          <w:iCs/>
          <w:sz w:val="24"/>
        </w:rPr>
        <w:t>n</w:t>
      </w:r>
      <w:r>
        <w:rPr>
          <w:bCs/>
          <w:sz w:val="24"/>
        </w:rPr>
        <w:t>项和</w:t>
      </w:r>
      <w:r>
        <w:rPr>
          <w:bCs/>
          <w:i/>
          <w:iCs/>
          <w:sz w:val="24"/>
        </w:rPr>
        <w:t>S</w:t>
      </w:r>
      <w:r>
        <w:rPr>
          <w:bCs/>
          <w:i/>
          <w:iCs/>
          <w:sz w:val="24"/>
          <w:vertAlign w:val="subscript"/>
        </w:rPr>
        <w:t>n</w:t>
      </w:r>
      <w:r>
        <w:rPr>
          <w:bCs/>
          <w:sz w:val="24"/>
        </w:rPr>
        <w:t>的关系？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{</w:t>
      </w:r>
      <w:r>
        <w:rPr>
          <w:bCs/>
          <w:i/>
          <w:iCs/>
          <w:sz w:val="24"/>
        </w:rPr>
        <w:t>a</w:t>
      </w:r>
      <w:r>
        <w:rPr>
          <w:bCs/>
          <w:i/>
          <w:iCs/>
          <w:sz w:val="24"/>
          <w:vertAlign w:val="subscript"/>
        </w:rPr>
        <w:t>n</w:t>
      </w:r>
      <w:r>
        <w:rPr>
          <w:sz w:val="24"/>
        </w:rPr>
        <w:t>}是等比数列</w:t>
      </w:r>
      <w:r>
        <w:rPr>
          <w:position w:val="-12"/>
          <w:sz w:val="24"/>
        </w:rPr>
        <w:object>
          <v:shape id="_x0000_i1027" o:spt="75" type="#_x0000_t75" style="height:19pt;width:83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sz w:val="24"/>
        </w:rPr>
        <w:t>其中</w:t>
      </w:r>
      <w:r>
        <w:rPr>
          <w:position w:val="-10"/>
          <w:sz w:val="24"/>
        </w:rPr>
        <w:object>
          <v:shape id="_x0000_i1028" o:spt="75" type="#_x0000_t75" style="height:16pt;width:105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sz w:val="24"/>
        </w:rPr>
        <w:t>.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2．</w:t>
      </w:r>
      <w:r>
        <w:rPr>
          <w:bCs/>
          <w:i/>
          <w:iCs/>
          <w:sz w:val="24"/>
        </w:rPr>
        <w:t>S</w:t>
      </w:r>
      <w:r>
        <w:rPr>
          <w:bCs/>
          <w:i/>
          <w:iCs/>
          <w:sz w:val="24"/>
          <w:vertAlign w:val="subscript"/>
        </w:rPr>
        <w:t>n</w:t>
      </w:r>
      <w:r>
        <w:rPr>
          <w:sz w:val="24"/>
        </w:rPr>
        <w:t>为等比数列的前</w:t>
      </w:r>
      <w:r>
        <w:rPr>
          <w:i/>
          <w:sz w:val="24"/>
        </w:rPr>
        <w:t>n</w:t>
      </w:r>
      <w:r>
        <w:rPr>
          <w:sz w:val="24"/>
        </w:rPr>
        <w:t xml:space="preserve">项和, </w:t>
      </w:r>
      <w:r>
        <w:rPr>
          <w:position w:val="-12"/>
          <w:sz w:val="24"/>
        </w:rPr>
        <w:object>
          <v:shape id="_x0000_i1029" o:spt="75" type="#_x0000_t75" style="height:18pt;width:33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sz w:val="24"/>
        </w:rPr>
        <w:t xml:space="preserve"> ，则</w:t>
      </w:r>
      <w:r>
        <w:rPr>
          <w:position w:val="-12"/>
          <w:sz w:val="24"/>
        </w:rPr>
        <w:object>
          <v:shape id="_x0000_i1030" o:spt="75" type="#_x0000_t75" style="height:18pt;width:121.95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/>
          <w:b/>
          <w:sz w:val="24"/>
        </w:rPr>
        <w:t>N</w:t>
      </w:r>
      <w:r>
        <w:rPr>
          <w:rFonts w:hint="eastAsia"/>
          <w:b/>
          <w:sz w:val="24"/>
          <w:vertAlign w:val="superscript"/>
        </w:rPr>
        <w:t>﹡</w:t>
      </w:r>
      <w:r>
        <w:rPr>
          <w:rFonts w:hint="eastAsia" w:ascii="宋体" w:hAnsi="宋体"/>
          <w:sz w:val="24"/>
        </w:rPr>
        <w:t>)</w:t>
      </w:r>
      <w:r>
        <w:rPr>
          <w:sz w:val="24"/>
        </w:rPr>
        <w:t>是等比数列．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注意：①公比</w:t>
      </w:r>
      <w:r>
        <w:rPr>
          <w:i/>
          <w:iCs/>
          <w:sz w:val="24"/>
        </w:rPr>
        <w:t>q</w:t>
      </w:r>
      <w:r>
        <w:rPr>
          <w:sz w:val="24"/>
        </w:rPr>
        <w:t>的各种取值情况的讨论，</w:t>
      </w:r>
    </w:p>
    <w:p>
      <w:pPr>
        <w:spacing w:line="360" w:lineRule="auto"/>
        <w:ind w:firstLine="1200" w:firstLineChars="500"/>
        <w:rPr>
          <w:sz w:val="24"/>
        </w:rPr>
      </w:pPr>
      <w:r>
        <w:rPr>
          <w:sz w:val="24"/>
        </w:rPr>
        <w:t>②不要忽视等比数列的各项都不为0的前提条件．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3．</w:t>
      </w:r>
      <w:r>
        <w:rPr>
          <w:rFonts w:hint="eastAsia" w:ascii="宋体" w:hAnsi="宋体"/>
          <w:sz w:val="24"/>
        </w:rPr>
        <w:t xml:space="preserve"> </w:t>
      </w:r>
      <w:r>
        <w:rPr>
          <w:sz w:val="24"/>
        </w:rPr>
        <w:t>在等比数列中</w:t>
      </w:r>
      <w:r>
        <w:rPr>
          <w:rFonts w:hint="eastAsia"/>
          <w:sz w:val="24"/>
        </w:rPr>
        <w:t>，</w:t>
      </w:r>
      <w:r>
        <w:rPr>
          <w:sz w:val="24"/>
        </w:rPr>
        <w:t>若项数为2</w:t>
      </w:r>
      <w:r>
        <w:rPr>
          <w:i/>
          <w:sz w:val="24"/>
        </w:rPr>
        <w:t xml:space="preserve">n 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sz w:val="24"/>
        </w:rPr>
        <w:t>∈</w:t>
      </w:r>
      <w:r>
        <w:rPr>
          <w:b/>
          <w:sz w:val="24"/>
        </w:rPr>
        <w:t>N</w:t>
      </w:r>
      <w:r>
        <w:rPr>
          <w:rFonts w:hint="eastAsia"/>
          <w:sz w:val="24"/>
          <w:vertAlign w:val="superscript"/>
        </w:rPr>
        <w:t>﹡</w:t>
      </w:r>
      <w:r>
        <w:rPr>
          <w:sz w:val="24"/>
        </w:rPr>
        <w:t>)</w:t>
      </w:r>
      <w:r>
        <w:rPr>
          <w:rFonts w:hint="eastAsia"/>
          <w:sz w:val="24"/>
        </w:rPr>
        <w:t>，</w:t>
      </w:r>
      <w:r>
        <w:rPr>
          <w:i/>
          <w:sz w:val="24"/>
        </w:rPr>
        <w:t>S</w:t>
      </w:r>
      <w:r>
        <w:rPr>
          <w:sz w:val="24"/>
          <w:vertAlign w:val="subscript"/>
        </w:rPr>
        <w:t>偶</w:t>
      </w:r>
      <w:r>
        <w:rPr>
          <w:sz w:val="24"/>
        </w:rPr>
        <w:t>与</w:t>
      </w:r>
      <w:r>
        <w:rPr>
          <w:i/>
          <w:sz w:val="24"/>
        </w:rPr>
        <w:t>S</w:t>
      </w:r>
      <w:r>
        <w:rPr>
          <w:sz w:val="24"/>
          <w:vertAlign w:val="subscript"/>
        </w:rPr>
        <w:t>奇</w:t>
      </w:r>
      <w:r>
        <w:rPr>
          <w:sz w:val="24"/>
        </w:rPr>
        <w:t>分别为偶数项和与奇数项和</w:t>
      </w:r>
      <w:r>
        <w:rPr>
          <w:rFonts w:hint="eastAsia"/>
          <w:sz w:val="24"/>
        </w:rPr>
        <w:t>，</w:t>
      </w:r>
      <w:r>
        <w:rPr>
          <w:sz w:val="24"/>
        </w:rPr>
        <w:t>则</w:t>
      </w:r>
      <w:r>
        <w:rPr>
          <w:position w:val="-32"/>
          <w:sz w:val="24"/>
        </w:rPr>
        <w:object>
          <v:shape id="_x0000_i1031" o:spt="75" type="#_x0000_t75" style="height:36pt;width:30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sz w:val="24"/>
          <w:u w:val="single"/>
        </w:rPr>
        <w:t xml:space="preserve">   </w:t>
      </w:r>
      <w:r>
        <w:rPr>
          <w:sz w:val="24"/>
        </w:rPr>
        <w:t>．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四、数学运用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1．</w:t>
      </w:r>
      <w:r>
        <w:rPr>
          <w:sz w:val="24"/>
        </w:rPr>
        <w:t>例题讲解．</w:t>
      </w: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  <w:r>
        <w:rPr>
          <w:rFonts w:hint="default"/>
          <w:position w:val="-14"/>
          <w:sz w:val="24"/>
          <w:lang w:val="en-US" w:eastAsia="zh-CN"/>
        </w:rPr>
        <w:object>
          <v:shape id="_x0000_i1032" o:spt="75" type="#_x0000_t75" style="height:20pt;width:314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position w:val="-14"/>
          <w:sz w:val="24"/>
          <w:lang w:val="en-US" w:eastAsia="zh-CN"/>
        </w:rPr>
      </w:pPr>
      <w:r>
        <w:rPr>
          <w:rFonts w:hint="eastAsia"/>
          <w:position w:val="-14"/>
          <w:sz w:val="24"/>
          <w:lang w:val="en-US" w:eastAsia="zh-CN"/>
        </w:rPr>
        <w:t>针对训练：</w:t>
      </w:r>
      <w:bookmarkStart w:id="0" w:name="topic e1a8494a-cb5b-4384-a1a4-8042198569"/>
      <w:r>
        <w:rPr>
          <w:rFonts w:hint="eastAsia"/>
          <w:position w:val="-14"/>
          <w:sz w:val="24"/>
          <w:lang w:val="en-US" w:eastAsia="zh-CN"/>
        </w:rPr>
        <w:t>设等比数列</w:t>
      </w:r>
      <m:oMath>
        <m:r>
          <m:rPr>
            <m:sty m:val="p"/>
          </m:rPr>
          <w:rPr>
            <w:rFonts w:hint="eastAsia" w:ascii="Cambria Math" w:hAnsi="Cambria Math"/>
            <w:position w:val="-14"/>
            <w:sz w:val="24"/>
            <w:lang w:val="en-US" w:eastAsia="zh-CN"/>
          </w:rPr>
          <m:t>{</m:t>
        </m:r>
        <m:sSub>
          <m:sSubP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a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n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position w:val="-14"/>
            <w:sz w:val="24"/>
            <w:lang w:val="en-US" w:eastAsia="zh-CN"/>
          </w:rPr>
          <m:t>}</m:t>
        </m:r>
      </m:oMath>
      <w:r>
        <w:rPr>
          <w:rFonts w:hint="eastAsia"/>
          <w:position w:val="-14"/>
          <w:sz w:val="24"/>
          <w:lang w:val="en-US" w:eastAsia="zh-CN"/>
        </w:rPr>
        <w:t>的前n项和为</w:t>
      </w:r>
      <m:oMath>
        <m:sSub>
          <m:sSubP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S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n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ub>
        </m:sSub>
      </m:oMath>
      <w:r>
        <w:rPr>
          <w:rFonts w:hint="eastAsia"/>
          <w:position w:val="-14"/>
          <w:sz w:val="24"/>
          <w:lang w:val="en-US" w:eastAsia="zh-CN"/>
        </w:rPr>
        <w:t>，若</w:t>
      </w:r>
      <m:oMath>
        <m:sSub>
          <m:sSubP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S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10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position w:val="-14"/>
            <w:sz w:val="24"/>
            <w:lang w:val="en-US" w:eastAsia="zh-CN"/>
          </w:rPr>
          <m:t>:</m:t>
        </m:r>
        <m:sSub>
          <m:sSubP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S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5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position w:val="-14"/>
            <w:sz w:val="24"/>
            <w:lang w:val="en-US" w:eastAsia="zh-CN"/>
          </w:rPr>
          <m:t>=1:2</m:t>
        </m:r>
      </m:oMath>
      <w:r>
        <w:rPr>
          <w:rFonts w:hint="eastAsia"/>
          <w:position w:val="-14"/>
          <w:sz w:val="24"/>
          <w:lang w:val="en-US" w:eastAsia="zh-CN"/>
        </w:rPr>
        <w:t>，则</w:t>
      </w:r>
      <m:oMath>
        <m:sSub>
          <m:sSubP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S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15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position w:val="-14"/>
            <w:sz w:val="24"/>
            <w:lang w:val="en-US" w:eastAsia="zh-CN"/>
          </w:rPr>
          <m:t>:</m:t>
        </m:r>
        <m:sSub>
          <m:sSubP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S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  <m:t>5</m:t>
            </m:r>
            <m:ctrlPr>
              <w:rPr>
                <w:rFonts w:hint="eastAsia" w:ascii="Cambria Math" w:hAnsi="Cambria Math"/>
                <w:position w:val="-14"/>
                <w:sz w:val="24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position w:val="-14"/>
            <w:sz w:val="24"/>
            <w:lang w:val="en-US" w:eastAsia="zh-CN"/>
          </w:rPr>
          <m:t>=</m:t>
        </m:r>
      </m:oMath>
      <w:r>
        <w:rPr>
          <w:rFonts w:hint="eastAsia"/>
          <w:position w:val="-14"/>
          <w:sz w:val="24"/>
          <w:lang w:val="en-US" w:eastAsia="zh-CN"/>
        </w:rPr>
        <w:t>________．</w:t>
      </w:r>
      <w:bookmarkEnd w:id="0"/>
    </w:p>
    <w:p>
      <w:pPr>
        <w:spacing w:line="360" w:lineRule="auto"/>
        <w:rPr>
          <w:rFonts w:hint="default"/>
          <w:position w:val="-14"/>
          <w:sz w:val="24"/>
          <w:lang w:val="en-US" w:eastAsia="zh-CN"/>
        </w:rPr>
      </w:pPr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3343275" cy="962025"/>
            <wp:effectExtent l="0" t="0" r="9525" b="9525"/>
            <wp:docPr id="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  <w:lang w:val="en-US" w:eastAsia="zh-CN"/>
        </w:rPr>
        <w:t>针对训练：</w:t>
      </w:r>
      <w:r>
        <w:rPr>
          <w:rFonts w:ascii="宋体" w:hAnsi="宋体" w:eastAsia="宋体" w:cs="宋体"/>
          <w:kern w:val="0"/>
          <w:szCs w:val="21"/>
        </w:rPr>
        <w:t>在数列</w:t>
      </w:r>
      <m:oMath>
        <m:r>
          <m:rPr>
            <m:sty m:val="bi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中，已知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b/>
                <w:bCs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/>
                <w:bCs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>
            <m:sty m:val="bi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+1(n∈</m:t>
        </m:r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  <m:ctrlPr>
              <w:rPr>
                <w:rFonts w:ascii="Cambria Math" w:hAnsi="Cambria Math"/>
                <w:b/>
                <w:bCs/>
              </w:rPr>
            </m:ctrlPr>
          </m:sup>
        </m:sSup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1"/>
        </w:num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求证：数列</w:t>
      </w:r>
      <m:oMath>
        <m:r>
          <m:rPr>
            <m:sty m:val="bi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−1}</m:t>
        </m:r>
      </m:oMath>
      <w:r>
        <w:rPr>
          <w:rFonts w:ascii="宋体" w:hAnsi="宋体" w:eastAsia="宋体" w:cs="宋体"/>
          <w:kern w:val="0"/>
          <w:szCs w:val="21"/>
        </w:rPr>
        <w:t>是等比数列；</w:t>
      </w:r>
    </w:p>
    <w:p>
      <w:pPr>
        <w:numPr>
          <w:ilvl w:val="0"/>
          <w:numId w:val="0"/>
        </w:numPr>
        <w:spacing w:before="240" w:after="240" w:line="360" w:lineRule="auto"/>
        <w:ind w:firstLine="420" w:firstLineChars="200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=n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，求数列</w:t>
      </w:r>
      <m:oMath>
        <m:r>
          <m:rPr>
            <m:sty m:val="bi"/>
          </m:rP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  <m:r>
          <m:rPr>
            <m:sty m:val="bi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w:r>
        <w:rPr>
          <w:rStyle w:val="9"/>
          <w:rFonts w:ascii="Times New Roman" w:hAnsi="Times New Roman" w:eastAsia="Times New Roman" w:cs="Times New Roman"/>
          <w:b/>
          <w:bCs/>
          <w:i/>
          <w:iCs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b/>
                <w:bCs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  <w:b/>
                <w:bCs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33" o:spt="75" type="#_x0000_t75" style="height:17pt;width:7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420" w:leftChars="200" w:firstLine="0" w:firstLineChars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bookmarkStart w:id="1" w:name="topic f3ca2974-13c5-4f8b-896c-eec7876d2f"/>
      <w:r>
        <w:rPr>
          <w:rFonts w:hint="eastAsia" w:ascii="宋体" w:hAnsi="宋体" w:cs="宋体"/>
          <w:kern w:val="0"/>
          <w:szCs w:val="21"/>
          <w:lang w:val="en-US" w:eastAsia="zh-CN"/>
        </w:rPr>
        <w:t>补充练习1：</w:t>
      </w:r>
      <w:r>
        <w:rPr>
          <w:rFonts w:ascii="宋体" w:hAnsi="宋体" w:eastAsia="宋体" w:cs="宋体"/>
          <w:kern w:val="0"/>
          <w:szCs w:val="21"/>
        </w:rPr>
        <w:t>已知一个等比数列首项为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，项数是偶数，其奇数项之和为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85</w:t>
      </w:r>
      <w:r>
        <w:rPr>
          <w:rFonts w:ascii="宋体" w:hAnsi="宋体" w:eastAsia="宋体" w:cs="宋体"/>
          <w:kern w:val="0"/>
          <w:szCs w:val="21"/>
        </w:rPr>
        <w:t>，偶数项之和为</w:t>
      </w:r>
      <w:r>
        <w:rPr>
          <w:rStyle w:val="9"/>
          <w:rFonts w:ascii="Times New Roman" w:hAnsi="Times New Roman" w:eastAsia="Times New Roman" w:cs="Times New Roman"/>
          <w:kern w:val="0"/>
          <w:szCs w:val="21"/>
        </w:rPr>
        <w:t>170</w:t>
      </w:r>
      <w:r>
        <w:rPr>
          <w:rFonts w:ascii="宋体" w:hAnsi="宋体" w:eastAsia="宋体" w:cs="宋体"/>
          <w:kern w:val="0"/>
          <w:szCs w:val="21"/>
        </w:rPr>
        <w:t>，则这个数列的公比是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，项数是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"/>
    </w:p>
    <w:p>
      <w:pPr>
        <w:spacing w:before="240" w:after="240" w:line="360" w:lineRule="auto"/>
        <w:ind w:left="420"/>
        <w:textAlignment w:val="center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drawing>
          <wp:inline distT="0" distB="0" distL="114300" distR="114300">
            <wp:extent cx="5304790" cy="1493520"/>
            <wp:effectExtent l="0" t="0" r="0" b="11430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tabs>
          <w:tab w:val="left" w:pos="1380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</w:t>
      </w:r>
      <w:r>
        <w:rPr>
          <w:sz w:val="24"/>
        </w:rPr>
        <w:t>要点归纳与方法小结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1．</w:t>
      </w:r>
      <w:r>
        <w:rPr>
          <w:sz w:val="24"/>
        </w:rPr>
        <w:t>{</w:t>
      </w:r>
      <w:r>
        <w:rPr>
          <w:bCs/>
          <w:i/>
          <w:iCs/>
          <w:sz w:val="24"/>
        </w:rPr>
        <w:t>a</w:t>
      </w:r>
      <w:r>
        <w:rPr>
          <w:bCs/>
          <w:i/>
          <w:iCs/>
          <w:sz w:val="24"/>
          <w:vertAlign w:val="subscript"/>
        </w:rPr>
        <w:t>n</w:t>
      </w:r>
      <w:r>
        <w:rPr>
          <w:sz w:val="24"/>
        </w:rPr>
        <w:t>}是等比数列</w:t>
      </w:r>
      <w:r>
        <w:rPr>
          <w:position w:val="-10"/>
          <w:sz w:val="24"/>
        </w:rPr>
        <w:object>
          <v:shape id="_x0000_i1034" o:spt="75" type="#_x0000_t75" style="height:18pt;width:77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sz w:val="24"/>
        </w:rPr>
        <w:t>其中</w:t>
      </w:r>
      <w:r>
        <w:rPr>
          <w:position w:val="-10"/>
          <w:sz w:val="24"/>
        </w:rPr>
        <w:object>
          <v:shape id="_x0000_i1035" o:spt="75" type="#_x0000_t75" style="height:15pt;width:98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sz w:val="24"/>
        </w:rPr>
        <w:t>．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ascii="宋体" w:hAnsi="宋体"/>
          <w:sz w:val="24"/>
        </w:rPr>
        <w:t>2．</w:t>
      </w:r>
      <w:r>
        <w:rPr>
          <w:bCs/>
          <w:i/>
          <w:iCs/>
          <w:sz w:val="24"/>
        </w:rPr>
        <w:t>S</w:t>
      </w:r>
      <w:r>
        <w:rPr>
          <w:bCs/>
          <w:i/>
          <w:iCs/>
          <w:sz w:val="24"/>
          <w:vertAlign w:val="subscript"/>
        </w:rPr>
        <w:t>n</w:t>
      </w:r>
      <w:r>
        <w:rPr>
          <w:rFonts w:hint="eastAsia"/>
          <w:sz w:val="24"/>
        </w:rPr>
        <w:t>（</w:t>
      </w:r>
      <w:r>
        <w:rPr>
          <w:position w:val="-12"/>
        </w:rPr>
        <w:object>
          <v:shape id="_x0000_i1036" o:spt="75" type="#_x0000_t75" style="height:18pt;width:33pt;" o:ole="t" filled="f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Style w:val="7"/>
          <w:rFonts w:hint="eastAsia" w:ascii="宋体" w:hAnsi="宋体"/>
          <w:b w:val="0"/>
          <w:sz w:val="24"/>
        </w:rPr>
        <w:t>）</w:t>
      </w:r>
      <w:r>
        <w:rPr>
          <w:sz w:val="24"/>
        </w:rPr>
        <w:t>为等比数列的前</w:t>
      </w:r>
      <w:r>
        <w:rPr>
          <w:i/>
          <w:sz w:val="24"/>
        </w:rPr>
        <w:t>n</w:t>
      </w:r>
      <w:r>
        <w:rPr>
          <w:sz w:val="24"/>
        </w:rPr>
        <w:t>项和</w:t>
      </w:r>
      <w:r>
        <w:rPr>
          <w:rFonts w:hint="eastAsia"/>
          <w:sz w:val="24"/>
        </w:rPr>
        <w:t>，</w:t>
      </w:r>
      <w:r>
        <w:rPr>
          <w:sz w:val="24"/>
        </w:rPr>
        <w:t>则</w:t>
      </w:r>
    </w:p>
    <w:p>
      <w:pPr>
        <w:spacing w:line="360" w:lineRule="auto"/>
        <w:rPr>
          <w:sz w:val="24"/>
        </w:rPr>
      </w:pPr>
      <w:r>
        <w:rPr>
          <w:position w:val="-12"/>
        </w:rPr>
        <w:object>
          <v:shape id="_x0000_i1037" o:spt="75" type="#_x0000_t75" style="height:18pt;width:250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sz w:val="24"/>
        </w:rPr>
        <w:t>一定是等比数列．</w:t>
      </w:r>
    </w:p>
    <w:p>
      <w:pPr>
        <w:spacing w:line="360" w:lineRule="auto"/>
        <w:ind w:firstLine="480" w:firstLineChars="200"/>
        <w:rPr>
          <w:rFonts w:hint="default"/>
          <w:position w:val="-14"/>
          <w:sz w:val="24"/>
          <w:lang w:val="en-US" w:eastAsia="zh-CN"/>
        </w:rPr>
      </w:pPr>
      <w:r>
        <w:rPr>
          <w:rFonts w:ascii="宋体" w:hAnsi="宋体"/>
          <w:sz w:val="24"/>
        </w:rPr>
        <w:t>3</w:t>
      </w:r>
      <w:r>
        <w:rPr>
          <w:sz w:val="24"/>
        </w:rPr>
        <w:t>．在等比数列中,若项数为2</w:t>
      </w:r>
      <w:r>
        <w:rPr>
          <w:i/>
          <w:sz w:val="24"/>
        </w:rPr>
        <w:t>n</w:t>
      </w:r>
      <w:r>
        <w:rPr>
          <w:rFonts w:hint="eastAsia"/>
          <w:sz w:val="24"/>
        </w:rPr>
        <w:t>（</w:t>
      </w:r>
      <w:r>
        <w:rPr>
          <w:i/>
          <w:sz w:val="24"/>
        </w:rPr>
        <w:t>n</w:t>
      </w:r>
      <w:r>
        <w:rPr>
          <w:sz w:val="24"/>
        </w:rPr>
        <w:t>∈</w:t>
      </w:r>
      <w:r>
        <w:rPr>
          <w:b/>
          <w:sz w:val="24"/>
        </w:rPr>
        <w:t>N</w:t>
      </w:r>
      <w:r>
        <w:rPr>
          <w:rFonts w:hint="eastAsia"/>
          <w:b/>
          <w:sz w:val="24"/>
          <w:vertAlign w:val="superscript"/>
        </w:rPr>
        <w:t>﹡</w:t>
      </w:r>
      <w:r>
        <w:rPr>
          <w:rFonts w:hint="eastAsia"/>
          <w:sz w:val="24"/>
        </w:rPr>
        <w:t>），</w:t>
      </w:r>
      <w:r>
        <w:rPr>
          <w:i/>
          <w:sz w:val="24"/>
        </w:rPr>
        <w:t>S</w:t>
      </w:r>
      <w:r>
        <w:rPr>
          <w:sz w:val="24"/>
          <w:vertAlign w:val="subscript"/>
        </w:rPr>
        <w:t>偶</w:t>
      </w:r>
      <w:r>
        <w:rPr>
          <w:sz w:val="24"/>
        </w:rPr>
        <w:t>与</w:t>
      </w:r>
      <w:r>
        <w:rPr>
          <w:i/>
          <w:sz w:val="24"/>
        </w:rPr>
        <w:t>S</w:t>
      </w:r>
      <w:r>
        <w:rPr>
          <w:sz w:val="24"/>
          <w:vertAlign w:val="subscript"/>
        </w:rPr>
        <w:t>奇</w:t>
      </w:r>
      <w:r>
        <w:rPr>
          <w:sz w:val="24"/>
        </w:rPr>
        <w:t>分别为偶数项和与奇数项和,则</w:t>
      </w:r>
      <w:r>
        <w:rPr>
          <w:position w:val="-30"/>
          <w:sz w:val="24"/>
        </w:rPr>
        <w:object>
          <v:shape id="_x0000_i1038" o:spt="75" type="#_x0000_t75" style="height:34pt;width:37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sz w:val="24"/>
        </w:rPr>
        <w:t>．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教学反思：本节课是等比数列前n项和公式的第二节课，主要是求和公式与求和公式的相关性质的应用与拓展。在理解掌握公式的前提下灵活应用公式及其变形，另外注意分类讨论。数列是高考命题的热点，对常规的等差、等比数列的考查比较淡化，对能够转化为等差、等比型的数列的考查是重点，需要重视，对学生的能力要求比较高。关键在于基本方法的掌握与推导。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2020.12.3秦淮高级中学开放日   高二数学教案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3253"/>
    <w:multiLevelType w:val="singleLevel"/>
    <w:tmpl w:val="7BB1325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D4B7B"/>
    <w:rsid w:val="05932710"/>
    <w:rsid w:val="07581DE6"/>
    <w:rsid w:val="098678FD"/>
    <w:rsid w:val="0E3C280B"/>
    <w:rsid w:val="0E8945F5"/>
    <w:rsid w:val="168E5BF6"/>
    <w:rsid w:val="1760382C"/>
    <w:rsid w:val="17756B60"/>
    <w:rsid w:val="25320139"/>
    <w:rsid w:val="2EA7428B"/>
    <w:rsid w:val="31D10E00"/>
    <w:rsid w:val="3297466B"/>
    <w:rsid w:val="3EE42CA0"/>
    <w:rsid w:val="41983F07"/>
    <w:rsid w:val="42AC3185"/>
    <w:rsid w:val="517D496F"/>
    <w:rsid w:val="546662FF"/>
    <w:rsid w:val="56103B5C"/>
    <w:rsid w:val="58AA790B"/>
    <w:rsid w:val="5ED1076D"/>
    <w:rsid w:val="66AE0227"/>
    <w:rsid w:val="6D533FA4"/>
    <w:rsid w:val="76E828A5"/>
    <w:rsid w:val="78275DB6"/>
    <w:rsid w:val="78BD4B7B"/>
    <w:rsid w:val="7C23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apple-style-span"/>
    <w:basedOn w:val="6"/>
    <w:uiPriority w:val="0"/>
  </w:style>
  <w:style w:type="character" w:customStyle="1" w:styleId="9">
    <w:name w:val="latex_linea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2020-11-19T12:09:00Z</dcterms:created>
  <dc:creator>bsj</dc:creator>
  <cp:lastModifiedBy>bsj</cp:lastModifiedBy>
  <dcterms:modified xsi:type="dcterms:W3CDTF">2020-12-01T07:32:31Z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