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3B" w:rsidRPr="0002223B" w:rsidRDefault="0002223B" w:rsidP="0002223B">
      <w:pPr>
        <w:ind w:firstLineChars="950" w:firstLine="2670"/>
        <w:rPr>
          <w:rFonts w:ascii="Times New Roman" w:eastAsia="宋体" w:hAnsi="Times New Roman" w:cs="Times New Roman"/>
          <w:b/>
          <w:sz w:val="28"/>
          <w:szCs w:val="28"/>
        </w:rPr>
      </w:pPr>
      <w:proofErr w:type="gramStart"/>
      <w:r w:rsidRPr="0002223B">
        <w:rPr>
          <w:rFonts w:ascii="Times New Roman" w:eastAsia="宋体" w:hAnsi="Times New Roman" w:cs="Times New Roman" w:hint="eastAsia"/>
          <w:b/>
          <w:sz w:val="28"/>
          <w:szCs w:val="28"/>
        </w:rPr>
        <w:t>吉守金</w:t>
      </w:r>
      <w:proofErr w:type="gramEnd"/>
      <w:r w:rsidRPr="0002223B">
        <w:rPr>
          <w:rFonts w:ascii="Times New Roman" w:eastAsia="宋体" w:hAnsi="Times New Roman" w:cs="Times New Roman" w:hint="eastAsia"/>
          <w:b/>
          <w:sz w:val="28"/>
          <w:szCs w:val="28"/>
        </w:rPr>
        <w:t>听课评价</w:t>
      </w:r>
    </w:p>
    <w:p w:rsidR="0002223B" w:rsidRPr="0002223B" w:rsidRDefault="0002223B" w:rsidP="0002223B">
      <w:pPr>
        <w:rPr>
          <w:rFonts w:ascii="Times New Roman" w:eastAsia="宋体" w:hAnsi="Times New Roman" w:cs="Times New Roman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听曾春霞老师课的感受：</w:t>
      </w:r>
    </w:p>
    <w:p w:rsidR="0002223B" w:rsidRPr="0002223B" w:rsidRDefault="0002223B" w:rsidP="0002223B">
      <w:pPr>
        <w:ind w:firstLineChars="250" w:firstLine="700"/>
        <w:rPr>
          <w:rFonts w:ascii="Times New Roman" w:eastAsia="宋体" w:hAnsi="Times New Roman" w:cs="Times New Roman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构思巧妙。打破了诗歌教学的一般惯例，不是从首联讲起，而是从颈联入手，抓住情感这一要素，使课堂一下子活了起来，起到了四两拨千斤的效果。</w:t>
      </w:r>
    </w:p>
    <w:p w:rsidR="0002223B" w:rsidRPr="0002223B" w:rsidRDefault="0002223B" w:rsidP="0002223B">
      <w:pPr>
        <w:ind w:firstLineChars="250" w:firstLine="700"/>
        <w:rPr>
          <w:rFonts w:ascii="Times New Roman" w:eastAsia="宋体" w:hAnsi="Times New Roman" w:cs="Times New Roman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点评用心。课堂要激趣，对于学生的回答，能先肯定，回答的好，夸其精当高妙，如果不好，肯定他的参与和热情。学会了夸学生，在指点回答中的不足，既激发学生的参与又有利于学生的参与。</w:t>
      </w:r>
    </w:p>
    <w:p w:rsidR="0002223B" w:rsidRDefault="0002223B" w:rsidP="0002223B">
      <w:pPr>
        <w:ind w:firstLineChars="250" w:firstLine="700"/>
        <w:rPr>
          <w:rFonts w:ascii="Times New Roman" w:eastAsia="宋体" w:hAnsi="Times New Roman" w:cs="Times New Roman" w:hint="eastAsia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搭建途径。问题的设计很用心，如“哪些词直接传达了诗人的情绪？”引导学生回答要给他达到目的的途径，指引学生的思路。</w:t>
      </w:r>
    </w:p>
    <w:p w:rsidR="0002223B" w:rsidRPr="0002223B" w:rsidRDefault="0002223B" w:rsidP="0002223B">
      <w:pPr>
        <w:ind w:firstLineChars="250" w:firstLine="700"/>
        <w:rPr>
          <w:rFonts w:ascii="Times New Roman" w:eastAsia="宋体" w:hAnsi="Times New Roman" w:cs="Times New Roman"/>
          <w:sz w:val="28"/>
          <w:szCs w:val="28"/>
        </w:rPr>
      </w:pPr>
    </w:p>
    <w:p w:rsidR="0002223B" w:rsidRPr="0002223B" w:rsidRDefault="0002223B" w:rsidP="0002223B">
      <w:pPr>
        <w:rPr>
          <w:rFonts w:ascii="Times New Roman" w:eastAsia="宋体" w:hAnsi="Times New Roman" w:cs="Times New Roman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听陈颖老师课的感受：</w:t>
      </w:r>
    </w:p>
    <w:p w:rsidR="0002223B" w:rsidRPr="0002223B" w:rsidRDefault="0002223B" w:rsidP="0002223B">
      <w:pPr>
        <w:ind w:firstLineChars="250" w:firstLine="700"/>
        <w:rPr>
          <w:rFonts w:ascii="Times New Roman" w:eastAsia="宋体" w:hAnsi="Times New Roman" w:cs="Times New Roman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新旧知识打通，在学习《登高》的课文，联系杜甫的其他诗篇和其他的相关重阳登高的诗篇，拓展了课堂的容量。</w:t>
      </w:r>
    </w:p>
    <w:p w:rsidR="0002223B" w:rsidRPr="0002223B" w:rsidRDefault="0002223B" w:rsidP="0002223B">
      <w:pPr>
        <w:ind w:firstLineChars="250" w:firstLine="700"/>
        <w:rPr>
          <w:rFonts w:ascii="Times New Roman" w:eastAsia="宋体" w:hAnsi="Times New Roman" w:cs="Times New Roman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对知识的传授不是名词的硬灌，在讲解“沉郁顿挫”时，不是单纯的告诉名词，让学生去分析，明白并理解内涵，一举两得，很是精彩。</w:t>
      </w:r>
    </w:p>
    <w:p w:rsidR="00143E77" w:rsidRPr="0002223B" w:rsidRDefault="0002223B" w:rsidP="0002223B">
      <w:pPr>
        <w:ind w:firstLineChars="250" w:firstLine="700"/>
        <w:rPr>
          <w:rFonts w:ascii="Times New Roman" w:eastAsia="宋体" w:hAnsi="Times New Roman" w:cs="Times New Roman" w:hint="eastAsia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备课翔实，讲解详细，有深度。学生读书很生动，说明平时指导的好。</w:t>
      </w:r>
    </w:p>
    <w:p w:rsidR="0002223B" w:rsidRPr="0002223B" w:rsidRDefault="0002223B" w:rsidP="0002223B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2223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《登高》评课稿</w:t>
      </w:r>
    </w:p>
    <w:p w:rsidR="0002223B" w:rsidRPr="0002223B" w:rsidRDefault="0002223B" w:rsidP="0002223B">
      <w:pPr>
        <w:jc w:val="center"/>
        <w:rPr>
          <w:rFonts w:ascii="Times New Roman" w:eastAsia="宋体" w:hAnsi="Times New Roman" w:cs="Times New Roman"/>
          <w:sz w:val="24"/>
        </w:rPr>
      </w:pPr>
      <w:proofErr w:type="gramStart"/>
      <w:r w:rsidRPr="0002223B">
        <w:rPr>
          <w:rFonts w:ascii="Times New Roman" w:eastAsia="宋体" w:hAnsi="Times New Roman" w:cs="Times New Roman" w:hint="eastAsia"/>
          <w:sz w:val="24"/>
        </w:rPr>
        <w:t>钱泽舒</w:t>
      </w:r>
      <w:proofErr w:type="gramEnd"/>
    </w:p>
    <w:p w:rsidR="0002223B" w:rsidRPr="0002223B" w:rsidRDefault="0002223B" w:rsidP="0002223B">
      <w:pPr>
        <w:ind w:firstLineChars="250" w:firstLine="700"/>
        <w:rPr>
          <w:rFonts w:ascii="Times New Roman" w:eastAsia="宋体" w:hAnsi="Times New Roman" w:cs="Times New Roman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徐静老师的这堂课是一节精心设计的常态课，也是一堂成功的公开课，没有任何花哨的设计，有的是稳扎稳打，实实在在。</w:t>
      </w:r>
    </w:p>
    <w:p w:rsidR="0002223B" w:rsidRPr="0002223B" w:rsidRDefault="0002223B" w:rsidP="0002223B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lastRenderedPageBreak/>
        <w:t>教师个人风格鲜明</w:t>
      </w:r>
    </w:p>
    <w:p w:rsidR="0002223B" w:rsidRPr="0002223B" w:rsidRDefault="0002223B" w:rsidP="0002223B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徐静老师的个人教学风格非常鲜明，洒脱、亲切、大气，充满感染力，自</w:t>
      </w:r>
      <w:proofErr w:type="gramStart"/>
      <w:r w:rsidRPr="0002223B">
        <w:rPr>
          <w:rFonts w:ascii="Times New Roman" w:eastAsia="宋体" w:hAnsi="Times New Roman" w:cs="Times New Roman" w:hint="eastAsia"/>
          <w:sz w:val="28"/>
          <w:szCs w:val="28"/>
        </w:rPr>
        <w:t>带强大气</w:t>
      </w:r>
      <w:proofErr w:type="gramEnd"/>
      <w:r w:rsidRPr="0002223B">
        <w:rPr>
          <w:rFonts w:ascii="Times New Roman" w:eastAsia="宋体" w:hAnsi="Times New Roman" w:cs="Times New Roman" w:hint="eastAsia"/>
          <w:sz w:val="28"/>
          <w:szCs w:val="28"/>
        </w:rPr>
        <w:t>场，我个人很喜欢徐老师的课，从学生的反应来看，相信他们也非常喜欢徐老师的课。</w:t>
      </w:r>
    </w:p>
    <w:p w:rsidR="0002223B" w:rsidRPr="0002223B" w:rsidRDefault="0002223B" w:rsidP="0002223B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学生表现非常抢眼</w:t>
      </w:r>
    </w:p>
    <w:p w:rsidR="0002223B" w:rsidRPr="0002223B" w:rsidRDefault="0002223B" w:rsidP="0002223B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整堂课，学生从朗读，无论是个人展示还是齐读，再到问题思考及回答时的语言表达，都充分展现了学生良好的素质，学生与老师的配合也很默契，一直跟着老师思维在动，所以整堂课下来相信学生是非常有收获的。</w:t>
      </w:r>
    </w:p>
    <w:p w:rsidR="0002223B" w:rsidRPr="0002223B" w:rsidRDefault="0002223B" w:rsidP="0002223B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教学过程水到渠成</w:t>
      </w:r>
    </w:p>
    <w:p w:rsidR="0002223B" w:rsidRPr="0002223B" w:rsidRDefault="0002223B" w:rsidP="0002223B">
      <w:pPr>
        <w:ind w:firstLineChars="300" w:firstLine="840"/>
        <w:rPr>
          <w:rFonts w:ascii="Times New Roman" w:eastAsia="宋体" w:hAnsi="Times New Roman" w:cs="Times New Roman" w:hint="eastAsia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徐</w:t>
      </w:r>
      <w:r w:rsidRPr="0002223B">
        <w:rPr>
          <w:rFonts w:ascii="Times New Roman" w:eastAsia="宋体" w:hAnsi="Times New Roman" w:cs="Times New Roman"/>
          <w:sz w:val="28"/>
          <w:szCs w:val="28"/>
        </w:rPr>
        <w:t>静老师非常重视诗歌教学中</w:t>
      </w:r>
      <w:r w:rsidRPr="0002223B">
        <w:rPr>
          <w:rFonts w:ascii="Times New Roman" w:eastAsia="宋体" w:hAnsi="Times New Roman" w:cs="Times New Roman" w:hint="eastAsia"/>
          <w:sz w:val="28"/>
          <w:szCs w:val="28"/>
        </w:rPr>
        <w:t>的</w:t>
      </w:r>
      <w:r w:rsidRPr="0002223B">
        <w:rPr>
          <w:rFonts w:ascii="Times New Roman" w:eastAsia="宋体" w:hAnsi="Times New Roman" w:cs="Times New Roman"/>
          <w:sz w:val="28"/>
          <w:szCs w:val="28"/>
        </w:rPr>
        <w:t>朗读环节</w:t>
      </w:r>
      <w:r w:rsidRPr="0002223B">
        <w:rPr>
          <w:rFonts w:ascii="Times New Roman" w:eastAsia="宋体" w:hAnsi="Times New Roman" w:cs="Times New Roman" w:hint="eastAsia"/>
          <w:sz w:val="28"/>
          <w:szCs w:val="28"/>
        </w:rPr>
        <w:t>，朗读</w:t>
      </w:r>
      <w:r w:rsidRPr="0002223B">
        <w:rPr>
          <w:rFonts w:ascii="Times New Roman" w:eastAsia="宋体" w:hAnsi="Times New Roman" w:cs="Times New Roman"/>
          <w:sz w:val="28"/>
          <w:szCs w:val="28"/>
        </w:rPr>
        <w:t>形式也非常的多样化，从学生个人展示读、齐读到师生共读，整个课堂充满了朗朗</w:t>
      </w:r>
      <w:r w:rsidRPr="0002223B">
        <w:rPr>
          <w:rFonts w:ascii="Times New Roman" w:eastAsia="宋体" w:hAnsi="Times New Roman" w:cs="Times New Roman" w:hint="eastAsia"/>
          <w:sz w:val="28"/>
          <w:szCs w:val="28"/>
        </w:rPr>
        <w:t>的</w:t>
      </w:r>
      <w:r w:rsidRPr="0002223B">
        <w:rPr>
          <w:rFonts w:ascii="Times New Roman" w:eastAsia="宋体" w:hAnsi="Times New Roman" w:cs="Times New Roman"/>
          <w:sz w:val="28"/>
          <w:szCs w:val="28"/>
        </w:rPr>
        <w:t>读书声</w:t>
      </w:r>
      <w:r w:rsidRPr="0002223B"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Pr="0002223B">
        <w:rPr>
          <w:rFonts w:ascii="Times New Roman" w:eastAsia="宋体" w:hAnsi="Times New Roman" w:cs="Times New Roman"/>
          <w:sz w:val="28"/>
          <w:szCs w:val="28"/>
        </w:rPr>
        <w:t>整个</w:t>
      </w:r>
      <w:r w:rsidRPr="0002223B">
        <w:rPr>
          <w:rFonts w:ascii="Times New Roman" w:eastAsia="宋体" w:hAnsi="Times New Roman" w:cs="Times New Roman" w:hint="eastAsia"/>
          <w:sz w:val="28"/>
          <w:szCs w:val="28"/>
        </w:rPr>
        <w:t>教学</w:t>
      </w:r>
      <w:r w:rsidRPr="0002223B">
        <w:rPr>
          <w:rFonts w:ascii="Times New Roman" w:eastAsia="宋体" w:hAnsi="Times New Roman" w:cs="Times New Roman"/>
          <w:sz w:val="28"/>
          <w:szCs w:val="28"/>
        </w:rPr>
        <w:t>环节的设置，</w:t>
      </w:r>
      <w:proofErr w:type="gramStart"/>
      <w:r w:rsidRPr="0002223B">
        <w:rPr>
          <w:rFonts w:ascii="Times New Roman" w:eastAsia="宋体" w:hAnsi="Times New Roman" w:cs="Times New Roman"/>
          <w:sz w:val="28"/>
          <w:szCs w:val="28"/>
        </w:rPr>
        <w:t>从初</w:t>
      </w:r>
      <w:r w:rsidRPr="0002223B">
        <w:rPr>
          <w:rFonts w:ascii="Times New Roman" w:eastAsia="宋体" w:hAnsi="Times New Roman" w:cs="Times New Roman" w:hint="eastAsia"/>
          <w:sz w:val="28"/>
          <w:szCs w:val="28"/>
        </w:rPr>
        <w:t>味诗情</w:t>
      </w:r>
      <w:proofErr w:type="gramEnd"/>
      <w:r w:rsidRPr="0002223B">
        <w:rPr>
          <w:rFonts w:ascii="Times New Roman" w:eastAsia="宋体" w:hAnsi="Times New Roman" w:cs="Times New Roman"/>
          <w:sz w:val="28"/>
          <w:szCs w:val="28"/>
        </w:rPr>
        <w:t>、品味意象到玩味诗</w:t>
      </w:r>
      <w:r w:rsidRPr="0002223B">
        <w:rPr>
          <w:rFonts w:ascii="Times New Roman" w:eastAsia="宋体" w:hAnsi="Times New Roman" w:cs="Times New Roman" w:hint="eastAsia"/>
          <w:sz w:val="28"/>
          <w:szCs w:val="28"/>
        </w:rPr>
        <w:t>心</w:t>
      </w:r>
      <w:r w:rsidRPr="0002223B">
        <w:rPr>
          <w:rFonts w:ascii="Times New Roman" w:eastAsia="宋体" w:hAnsi="Times New Roman" w:cs="Times New Roman"/>
          <w:sz w:val="28"/>
          <w:szCs w:val="28"/>
        </w:rPr>
        <w:t>，</w:t>
      </w:r>
      <w:r w:rsidRPr="0002223B">
        <w:rPr>
          <w:rFonts w:ascii="Times New Roman" w:eastAsia="宋体" w:hAnsi="Times New Roman" w:cs="Times New Roman" w:hint="eastAsia"/>
          <w:sz w:val="28"/>
          <w:szCs w:val="28"/>
        </w:rPr>
        <w:t>指导</w:t>
      </w:r>
      <w:r w:rsidRPr="0002223B">
        <w:rPr>
          <w:rFonts w:ascii="Times New Roman" w:eastAsia="宋体" w:hAnsi="Times New Roman" w:cs="Times New Roman"/>
          <w:sz w:val="28"/>
          <w:szCs w:val="28"/>
        </w:rPr>
        <w:t>细致，</w:t>
      </w:r>
      <w:r w:rsidRPr="0002223B">
        <w:rPr>
          <w:rFonts w:ascii="Times New Roman" w:eastAsia="宋体" w:hAnsi="Times New Roman" w:cs="Times New Roman" w:hint="eastAsia"/>
          <w:sz w:val="28"/>
          <w:szCs w:val="28"/>
        </w:rPr>
        <w:t>分析</w:t>
      </w:r>
      <w:r w:rsidRPr="0002223B">
        <w:rPr>
          <w:rFonts w:ascii="Times New Roman" w:eastAsia="宋体" w:hAnsi="Times New Roman" w:cs="Times New Roman"/>
          <w:sz w:val="28"/>
          <w:szCs w:val="28"/>
        </w:rPr>
        <w:t>到位，层次清晰，层层推进，步步为营，</w:t>
      </w:r>
      <w:r w:rsidRPr="0002223B">
        <w:rPr>
          <w:rFonts w:ascii="Times New Roman" w:eastAsia="宋体" w:hAnsi="Times New Roman" w:cs="Times New Roman" w:hint="eastAsia"/>
          <w:sz w:val="28"/>
          <w:szCs w:val="28"/>
        </w:rPr>
        <w:t>铺垫过度也</w:t>
      </w:r>
      <w:r w:rsidRPr="0002223B">
        <w:rPr>
          <w:rFonts w:ascii="Times New Roman" w:eastAsia="宋体" w:hAnsi="Times New Roman" w:cs="Times New Roman"/>
          <w:sz w:val="28"/>
          <w:szCs w:val="28"/>
        </w:rPr>
        <w:t>都很自然。</w:t>
      </w:r>
    </w:p>
    <w:p w:rsidR="0002223B" w:rsidRDefault="0002223B" w:rsidP="0002223B">
      <w:pPr>
        <w:rPr>
          <w:rFonts w:asciiTheme="minorEastAsia" w:hAnsiTheme="minorEastAsia" w:hint="eastAsia"/>
          <w:sz w:val="24"/>
        </w:rPr>
      </w:pPr>
    </w:p>
    <w:p w:rsidR="0002223B" w:rsidRPr="0002223B" w:rsidRDefault="0002223B" w:rsidP="0002223B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2223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任瑞卿《登高》评课</w:t>
      </w:r>
    </w:p>
    <w:p w:rsidR="0002223B" w:rsidRPr="0002223B" w:rsidRDefault="0002223B" w:rsidP="0002223B">
      <w:pPr>
        <w:ind w:firstLine="420"/>
        <w:rPr>
          <w:rFonts w:ascii="Times New Roman" w:eastAsia="宋体" w:hAnsi="Times New Roman" w:cs="Times New Roman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重视诗歌诵读：形式多样，有层次性，从读准字音到读出节奏到关注情感，要求明确，注重点评，是行之有效的诵读。</w:t>
      </w:r>
    </w:p>
    <w:p w:rsidR="0002223B" w:rsidRPr="0002223B" w:rsidRDefault="0002223B" w:rsidP="0002223B">
      <w:pPr>
        <w:ind w:firstLine="420"/>
        <w:rPr>
          <w:rFonts w:ascii="Times New Roman" w:eastAsia="宋体" w:hAnsi="Times New Roman" w:cs="Times New Roman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重视自主预习检查：课前有预习布置，课堂有知识检查，注意培养学生的学习能力。</w:t>
      </w:r>
    </w:p>
    <w:p w:rsidR="0002223B" w:rsidRPr="0002223B" w:rsidRDefault="0002223B" w:rsidP="0002223B">
      <w:pPr>
        <w:ind w:firstLine="420"/>
        <w:rPr>
          <w:rFonts w:ascii="宋体" w:eastAsia="宋体" w:hAnsi="宋体" w:cs="Times New Roman"/>
          <w:sz w:val="28"/>
          <w:szCs w:val="28"/>
        </w:rPr>
      </w:pPr>
      <w:r w:rsidRPr="0002223B">
        <w:rPr>
          <w:rFonts w:ascii="Times New Roman" w:eastAsia="宋体" w:hAnsi="Times New Roman" w:cs="Times New Roman" w:hint="eastAsia"/>
          <w:sz w:val="28"/>
          <w:szCs w:val="28"/>
        </w:rPr>
        <w:t>导入巧妙，由</w:t>
      </w:r>
      <w:r w:rsidRPr="0002223B">
        <w:rPr>
          <w:rFonts w:ascii="宋体" w:eastAsia="宋体" w:hAnsi="宋体" w:cs="Times New Roman" w:hint="eastAsia"/>
          <w:sz w:val="28"/>
          <w:szCs w:val="28"/>
        </w:rPr>
        <w:t>后人对《登高》 “古今七律之冠”的评价引入，抓住了本首诗歌的重点。但是教学还要结合学生的实际情况展开，在教</w:t>
      </w:r>
      <w:r w:rsidRPr="0002223B">
        <w:rPr>
          <w:rFonts w:ascii="宋体" w:eastAsia="宋体" w:hAnsi="宋体" w:cs="Times New Roman" w:hint="eastAsia"/>
          <w:sz w:val="28"/>
          <w:szCs w:val="28"/>
        </w:rPr>
        <w:lastRenderedPageBreak/>
        <w:t>学中，要多注意学</w:t>
      </w:r>
      <w:r>
        <w:rPr>
          <w:rFonts w:ascii="宋体" w:eastAsia="宋体" w:hAnsi="宋体" w:cs="Times New Roman" w:hint="eastAsia"/>
          <w:sz w:val="28"/>
          <w:szCs w:val="28"/>
        </w:rPr>
        <w:t>生的反应，敢于让学生思考回答，思想的碰撞往往会有令人惊喜的发现</w:t>
      </w:r>
    </w:p>
    <w:p w:rsidR="0002223B" w:rsidRPr="0002223B" w:rsidRDefault="0002223B" w:rsidP="0002223B">
      <w:pPr>
        <w:rPr>
          <w:rFonts w:asciiTheme="minorEastAsia" w:hAnsiTheme="minorEastAsia"/>
          <w:sz w:val="24"/>
        </w:rPr>
      </w:pPr>
      <w:bookmarkStart w:id="0" w:name="_GoBack"/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5267325" cy="4181475"/>
            <wp:effectExtent l="0" t="0" r="9525" b="9525"/>
            <wp:docPr id="1" name="图片 1" descr="C:\Users\ZX\Desktop\6月11日\6月11日\IMG_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\Desktop\6月11日\6月11日\IMG_59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223B" w:rsidRPr="0002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98" w:rsidRDefault="00A57C98" w:rsidP="0002223B">
      <w:r>
        <w:separator/>
      </w:r>
    </w:p>
  </w:endnote>
  <w:endnote w:type="continuationSeparator" w:id="0">
    <w:p w:rsidR="00A57C98" w:rsidRDefault="00A57C98" w:rsidP="0002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98" w:rsidRDefault="00A57C98" w:rsidP="0002223B">
      <w:r>
        <w:separator/>
      </w:r>
    </w:p>
  </w:footnote>
  <w:footnote w:type="continuationSeparator" w:id="0">
    <w:p w:rsidR="00A57C98" w:rsidRDefault="00A57C98" w:rsidP="0002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3C76"/>
    <w:multiLevelType w:val="hybridMultilevel"/>
    <w:tmpl w:val="9346618E"/>
    <w:lvl w:ilvl="0" w:tplc="D28CE73C">
      <w:start w:val="1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C379E"/>
    <w:rsid w:val="0002223B"/>
    <w:rsid w:val="00143E77"/>
    <w:rsid w:val="00A57C98"/>
    <w:rsid w:val="00C01515"/>
    <w:rsid w:val="00CF3DC7"/>
    <w:rsid w:val="213D40CD"/>
    <w:rsid w:val="41054672"/>
    <w:rsid w:val="56CC379E"/>
    <w:rsid w:val="7F1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223B"/>
    <w:rPr>
      <w:kern w:val="2"/>
      <w:sz w:val="18"/>
      <w:szCs w:val="18"/>
    </w:rPr>
  </w:style>
  <w:style w:type="paragraph" w:styleId="a4">
    <w:name w:val="footer"/>
    <w:basedOn w:val="a"/>
    <w:link w:val="Char0"/>
    <w:rsid w:val="00022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223B"/>
    <w:rPr>
      <w:kern w:val="2"/>
      <w:sz w:val="18"/>
      <w:szCs w:val="18"/>
    </w:rPr>
  </w:style>
  <w:style w:type="paragraph" w:styleId="a5">
    <w:name w:val="Balloon Text"/>
    <w:basedOn w:val="a"/>
    <w:link w:val="Char1"/>
    <w:rsid w:val="0002223B"/>
    <w:rPr>
      <w:sz w:val="18"/>
      <w:szCs w:val="18"/>
    </w:rPr>
  </w:style>
  <w:style w:type="character" w:customStyle="1" w:styleId="Char1">
    <w:name w:val="批注框文本 Char"/>
    <w:basedOn w:val="a0"/>
    <w:link w:val="a5"/>
    <w:rsid w:val="0002223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223B"/>
    <w:rPr>
      <w:kern w:val="2"/>
      <w:sz w:val="18"/>
      <w:szCs w:val="18"/>
    </w:rPr>
  </w:style>
  <w:style w:type="paragraph" w:styleId="a4">
    <w:name w:val="footer"/>
    <w:basedOn w:val="a"/>
    <w:link w:val="Char0"/>
    <w:rsid w:val="00022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223B"/>
    <w:rPr>
      <w:kern w:val="2"/>
      <w:sz w:val="18"/>
      <w:szCs w:val="18"/>
    </w:rPr>
  </w:style>
  <w:style w:type="paragraph" w:styleId="a5">
    <w:name w:val="Balloon Text"/>
    <w:basedOn w:val="a"/>
    <w:link w:val="Char1"/>
    <w:rsid w:val="0002223B"/>
    <w:rPr>
      <w:sz w:val="18"/>
      <w:szCs w:val="18"/>
    </w:rPr>
  </w:style>
  <w:style w:type="character" w:customStyle="1" w:styleId="Char1">
    <w:name w:val="批注框文本 Char"/>
    <w:basedOn w:val="a0"/>
    <w:link w:val="a5"/>
    <w:rsid w:val="000222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何处尘埃</dc:creator>
  <cp:lastModifiedBy>ZX</cp:lastModifiedBy>
  <cp:revision>3</cp:revision>
  <dcterms:created xsi:type="dcterms:W3CDTF">2019-05-14T09:25:00Z</dcterms:created>
  <dcterms:modified xsi:type="dcterms:W3CDTF">2020-06-26T12:25:00Z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