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教</w:t>
      </w:r>
      <w:r>
        <w:rPr>
          <w:b/>
          <w:bCs/>
          <w:sz w:val="44"/>
          <w:szCs w:val="44"/>
        </w:rPr>
        <w:t xml:space="preserve">  </w:t>
      </w:r>
      <w:r>
        <w:rPr>
          <w:rFonts w:hint="eastAsia"/>
          <w:b/>
          <w:bCs/>
          <w:sz w:val="44"/>
          <w:szCs w:val="44"/>
        </w:rPr>
        <w:t>案</w:t>
      </w:r>
      <w:r>
        <w:rPr>
          <w:b/>
          <w:bCs/>
          <w:sz w:val="44"/>
          <w:szCs w:val="44"/>
        </w:rPr>
        <w:t xml:space="preserve">  </w:t>
      </w:r>
      <w:r>
        <w:rPr>
          <w:rFonts w:hint="eastAsia"/>
          <w:b/>
          <w:bCs/>
          <w:sz w:val="44"/>
          <w:szCs w:val="44"/>
        </w:rPr>
        <w:t>设</w:t>
      </w:r>
      <w:r>
        <w:rPr>
          <w:b/>
          <w:bCs/>
          <w:sz w:val="44"/>
          <w:szCs w:val="44"/>
        </w:rPr>
        <w:t xml:space="preserve">  </w:t>
      </w:r>
      <w:r>
        <w:rPr>
          <w:rFonts w:hint="eastAsia"/>
          <w:b/>
          <w:bCs/>
          <w:sz w:val="44"/>
          <w:szCs w:val="44"/>
        </w:rPr>
        <w:t>计</w:t>
      </w:r>
    </w:p>
    <w:p>
      <w:pPr>
        <w:ind w:firstLine="240" w:firstLineChars="100"/>
        <w:rPr>
          <w:rFonts w:ascii="宋体" w:cs="宋体"/>
          <w:sz w:val="24"/>
        </w:rPr>
      </w:pPr>
      <w:r>
        <w:rPr>
          <w:rFonts w:hint="eastAsia" w:ascii="宋体" w:hAnsi="宋体" w:cs="宋体"/>
          <w:sz w:val="24"/>
        </w:rPr>
        <w:t>备课时间：</w:t>
      </w:r>
      <w:r>
        <w:rPr>
          <w:rFonts w:ascii="宋体" w:hAnsi="宋体" w:cs="宋体"/>
          <w:sz w:val="24"/>
        </w:rPr>
        <w:t>20</w:t>
      </w:r>
      <w:r>
        <w:rPr>
          <w:rFonts w:hint="eastAsia" w:ascii="宋体" w:hAnsi="宋体" w:cs="宋体"/>
          <w:sz w:val="24"/>
          <w:lang w:val="en-US" w:eastAsia="zh-CN"/>
        </w:rPr>
        <w:t>20</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总备课第</w:t>
      </w:r>
      <w:r>
        <w:rPr>
          <w:rFonts w:ascii="宋体" w:hAnsi="宋体" w:cs="宋体"/>
          <w:sz w:val="24"/>
          <w:u w:val="single"/>
        </w:rPr>
        <w:t xml:space="preserve">   </w:t>
      </w:r>
      <w:r>
        <w:rPr>
          <w:rFonts w:hint="eastAsia" w:ascii="宋体" w:hAnsi="宋体" w:cs="宋体"/>
          <w:sz w:val="24"/>
        </w:rPr>
        <w:t>课时</w:t>
      </w:r>
    </w:p>
    <w:tbl>
      <w:tblPr>
        <w:tblStyle w:val="3"/>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21"/>
        <w:gridCol w:w="1139"/>
        <w:gridCol w:w="2612"/>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515" w:type="dxa"/>
            <w:vMerge w:val="restart"/>
            <w:vAlign w:val="center"/>
          </w:tcPr>
          <w:p>
            <w:pPr>
              <w:jc w:val="center"/>
            </w:pPr>
            <w:r>
              <w:rPr>
                <w:rFonts w:hint="eastAsia"/>
              </w:rPr>
              <w:t>单元、章、节</w:t>
            </w:r>
          </w:p>
        </w:tc>
        <w:tc>
          <w:tcPr>
            <w:tcW w:w="1821" w:type="dxa"/>
            <w:vMerge w:val="restart"/>
            <w:vAlign w:val="center"/>
          </w:tcPr>
          <w:p>
            <w:pPr>
              <w:ind w:firstLine="630" w:firstLineChars="300"/>
              <w:jc w:val="both"/>
              <w:rPr>
                <w:rFonts w:hint="default" w:eastAsia="宋体"/>
                <w:lang w:val="en-US" w:eastAsia="zh-CN"/>
              </w:rPr>
            </w:pPr>
            <w:r>
              <w:rPr>
                <w:rFonts w:hint="eastAsia"/>
                <w:lang w:val="en-US" w:eastAsia="zh-CN"/>
              </w:rPr>
              <w:t>游记</w:t>
            </w:r>
          </w:p>
        </w:tc>
        <w:tc>
          <w:tcPr>
            <w:tcW w:w="1139" w:type="dxa"/>
            <w:vMerge w:val="restart"/>
            <w:vAlign w:val="center"/>
          </w:tcPr>
          <w:p>
            <w:pPr>
              <w:jc w:val="center"/>
            </w:pPr>
            <w:r>
              <w:rPr>
                <w:rFonts w:hint="eastAsia"/>
              </w:rPr>
              <w:t>教学内容</w:t>
            </w:r>
          </w:p>
        </w:tc>
        <w:tc>
          <w:tcPr>
            <w:tcW w:w="2612" w:type="dxa"/>
            <w:vMerge w:val="restart"/>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315" w:lineRule="atLeast"/>
              <w:ind w:right="0" w:firstLine="3150" w:firstLineChars="1500"/>
              <w:jc w:val="both"/>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315" w:lineRule="atLeast"/>
              <w:ind w:right="0"/>
              <w:jc w:val="both"/>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《游褒禅山记》</w:t>
            </w:r>
          </w:p>
          <w:p>
            <w:pPr>
              <w:jc w:val="center"/>
            </w:pPr>
          </w:p>
        </w:tc>
        <w:tc>
          <w:tcPr>
            <w:tcW w:w="2353" w:type="dxa"/>
            <w:vAlign w:val="center"/>
          </w:tcPr>
          <w:p>
            <w:pPr>
              <w:jc w:val="center"/>
            </w:pPr>
            <w:r>
              <w:rPr>
                <w:rFonts w:hint="eastAsia"/>
              </w:rPr>
              <w:t>需课时：</w:t>
            </w:r>
            <w:r>
              <w:rPr>
                <w:rFonts w:hint="eastAsia"/>
                <w:lang w:val="en-US" w:eastAsia="zh-CN"/>
              </w:rPr>
              <w:t>3</w:t>
            </w:r>
            <w:r>
              <w:rPr>
                <w:rFonts w:hint="eastAsia"/>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515" w:type="dxa"/>
            <w:vMerge w:val="continue"/>
            <w:vAlign w:val="center"/>
          </w:tcPr>
          <w:p>
            <w:pPr>
              <w:jc w:val="center"/>
            </w:pPr>
          </w:p>
        </w:tc>
        <w:tc>
          <w:tcPr>
            <w:tcW w:w="1821" w:type="dxa"/>
            <w:vMerge w:val="continue"/>
            <w:vAlign w:val="center"/>
          </w:tcPr>
          <w:p>
            <w:pPr>
              <w:jc w:val="center"/>
            </w:pPr>
          </w:p>
        </w:tc>
        <w:tc>
          <w:tcPr>
            <w:tcW w:w="1139" w:type="dxa"/>
            <w:vMerge w:val="continue"/>
            <w:vAlign w:val="center"/>
          </w:tcPr>
          <w:p>
            <w:pPr>
              <w:jc w:val="center"/>
            </w:pPr>
          </w:p>
        </w:tc>
        <w:tc>
          <w:tcPr>
            <w:tcW w:w="2612" w:type="dxa"/>
            <w:vMerge w:val="continue"/>
            <w:vAlign w:val="center"/>
          </w:tcPr>
          <w:p>
            <w:pPr>
              <w:jc w:val="center"/>
            </w:pPr>
          </w:p>
        </w:tc>
        <w:tc>
          <w:tcPr>
            <w:tcW w:w="2353" w:type="dxa"/>
            <w:vAlign w:val="center"/>
          </w:tcPr>
          <w:p>
            <w:pPr>
              <w:jc w:val="left"/>
              <w:rPr>
                <w:rFonts w:hint="eastAsia" w:eastAsia="宋体"/>
                <w:lang w:val="en-US" w:eastAsia="zh-CN"/>
              </w:rPr>
            </w:pPr>
            <w:r>
              <w:rPr>
                <w:rFonts w:hint="eastAsia"/>
              </w:rPr>
              <w:t>第</w:t>
            </w:r>
            <w:r>
              <w:rPr>
                <w:u w:val="single"/>
              </w:rPr>
              <w:t xml:space="preserve">  </w:t>
            </w:r>
            <w:r>
              <w:rPr>
                <w:rFonts w:hint="eastAsia"/>
                <w:u w:val="single"/>
                <w:lang w:val="en-US" w:eastAsia="zh-CN"/>
              </w:rPr>
              <w:t>1</w:t>
            </w:r>
            <w:r>
              <w:rPr>
                <w:rFonts w:hint="eastAsia"/>
              </w:rPr>
              <w:t>课时</w:t>
            </w:r>
            <w:r>
              <w:t xml:space="preserve">  </w:t>
            </w:r>
            <w:r>
              <w:rPr>
                <w:rFonts w:hint="eastAsia"/>
              </w:rPr>
              <w:t>课型</w:t>
            </w:r>
            <w:r>
              <w:rPr>
                <w:u w:val="single"/>
              </w:rPr>
              <w:t xml:space="preserve"> </w:t>
            </w:r>
            <w:r>
              <w:rPr>
                <w:rFonts w:hint="eastAsia"/>
                <w:u w:val="single"/>
                <w:lang w:val="en-US" w:eastAsia="zh-CN"/>
              </w:rPr>
              <w:t>新授</w:t>
            </w:r>
            <w:r>
              <w:rPr>
                <w:u w:val="single"/>
              </w:rPr>
              <w:t xml:space="preserve"> </w:t>
            </w:r>
            <w:r>
              <w:rPr>
                <w:rFonts w:hint="eastAsia"/>
                <w:u w:val="single"/>
                <w:lang w:val="en-US" w:eastAsia="zh-CN"/>
              </w:rPr>
              <w:t xml:space="preserve">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515" w:type="dxa"/>
            <w:vAlign w:val="center"/>
          </w:tcPr>
          <w:p>
            <w:pPr>
              <w:jc w:val="center"/>
            </w:pPr>
            <w:r>
              <w:rPr>
                <w:rFonts w:hint="eastAsia"/>
              </w:rPr>
              <w:t>教学目标</w:t>
            </w:r>
          </w:p>
        </w:tc>
        <w:tc>
          <w:tcPr>
            <w:tcW w:w="7925" w:type="dxa"/>
            <w:gridSpan w:val="4"/>
            <w:vAlign w:val="center"/>
          </w:tcPr>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1</w:t>
            </w:r>
            <w:r>
              <w:rPr>
                <w:rFonts w:hint="eastAsia" w:ascii="Calibri" w:hAnsi="Calibri" w:eastAsia="宋体" w:cs="Times New Roman"/>
                <w:kern w:val="2"/>
                <w:sz w:val="21"/>
                <w:szCs w:val="24"/>
                <w:lang w:val="en-US" w:eastAsia="zh-CN" w:bidi="ar-SA"/>
              </w:rPr>
              <w:t>.掌握重要文言字词及文言现象。</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2</w:t>
            </w:r>
            <w:r>
              <w:rPr>
                <w:rFonts w:hint="eastAsia" w:ascii="Calibri" w:hAnsi="Calibri" w:eastAsia="宋体" w:cs="Times New Roman"/>
                <w:kern w:val="2"/>
                <w:sz w:val="21"/>
                <w:szCs w:val="24"/>
                <w:lang w:val="en-US" w:eastAsia="zh-CN" w:bidi="ar-SA"/>
              </w:rPr>
              <w:t>.学习、借鉴因事见理、叙议结合、前后照应的写法。</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3.</w:t>
            </w:r>
            <w:r>
              <w:rPr>
                <w:rFonts w:hint="eastAsia" w:ascii="Calibri" w:hAnsi="Calibri" w:eastAsia="宋体" w:cs="Times New Roman"/>
                <w:kern w:val="2"/>
                <w:sz w:val="21"/>
                <w:szCs w:val="24"/>
                <w:lang w:val="en-US" w:eastAsia="zh-CN" w:bidi="ar-SA"/>
              </w:rPr>
              <w:t>学习作者“尽吾志”和做学问“不可不深思而慎取”的治学态度，明白其借鉴意义。</w:t>
            </w:r>
          </w:p>
          <w:p>
            <w:pPr>
              <w:shd w:val="clear" w:color="auto" w:fill="FFFFFF"/>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15" w:type="dxa"/>
            <w:vAlign w:val="center"/>
          </w:tcPr>
          <w:p>
            <w:pPr>
              <w:jc w:val="center"/>
            </w:pPr>
            <w:r>
              <w:rPr>
                <w:rFonts w:hint="eastAsia"/>
              </w:rPr>
              <w:t>重点难点</w:t>
            </w:r>
          </w:p>
        </w:tc>
        <w:tc>
          <w:tcPr>
            <w:tcW w:w="7925" w:type="dxa"/>
            <w:gridSpan w:val="4"/>
            <w:vAlign w:val="center"/>
          </w:tcPr>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重点：</w:t>
            </w:r>
            <w:r>
              <w:rPr>
                <w:rFonts w:hint="eastAsia" w:ascii="Calibri" w:hAnsi="Calibri" w:eastAsia="宋体" w:cs="Times New Roman"/>
                <w:kern w:val="2"/>
                <w:sz w:val="21"/>
                <w:szCs w:val="24"/>
                <w:lang w:val="en-US" w:eastAsia="zh-CN" w:bidi="ar-SA"/>
              </w:rPr>
              <w:t>学习、借鉴因事见理、叙议结合、前后照应的写法。</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学习作者“尽吾志”和做学问“不可不深思而慎取”的治学态度，明白其借鉴意义。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p>
          <w:p>
            <w:pPr>
              <w:widowControl/>
              <w:shd w:val="clear" w:color="auto" w:fill="FFFFFF"/>
              <w:spacing w:line="315" w:lineRule="atLeast"/>
              <w:jc w:val="left"/>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515" w:type="dxa"/>
            <w:vAlign w:val="center"/>
          </w:tcPr>
          <w:p>
            <w:pPr>
              <w:jc w:val="center"/>
            </w:pPr>
            <w:r>
              <w:rPr>
                <w:rFonts w:hint="eastAsia"/>
              </w:rPr>
              <w:t>教学方法</w:t>
            </w:r>
          </w:p>
        </w:tc>
        <w:tc>
          <w:tcPr>
            <w:tcW w:w="2960" w:type="dxa"/>
            <w:gridSpan w:val="2"/>
            <w:vAlign w:val="center"/>
          </w:tcPr>
          <w:p>
            <w:pPr>
              <w:jc w:val="center"/>
              <w:rPr>
                <w:rFonts w:hint="default" w:eastAsia="宋体"/>
                <w:lang w:val="en-US" w:eastAsia="zh-CN"/>
              </w:rPr>
            </w:pPr>
            <w:r>
              <w:rPr>
                <w:rFonts w:hint="eastAsia"/>
                <w:lang w:val="en-US" w:eastAsia="zh-CN"/>
              </w:rPr>
              <w:t>讲授 讨论</w:t>
            </w:r>
          </w:p>
        </w:tc>
        <w:tc>
          <w:tcPr>
            <w:tcW w:w="2612" w:type="dxa"/>
            <w:vAlign w:val="center"/>
          </w:tcPr>
          <w:p>
            <w:pPr>
              <w:jc w:val="center"/>
            </w:pPr>
            <w:r>
              <w:rPr>
                <w:rFonts w:hint="eastAsia"/>
              </w:rPr>
              <w:t>教学辅助手段</w:t>
            </w:r>
          </w:p>
        </w:tc>
        <w:tc>
          <w:tcPr>
            <w:tcW w:w="2353" w:type="dxa"/>
            <w:vAlign w:val="center"/>
          </w:tcPr>
          <w:p>
            <w:pPr>
              <w:jc w:val="center"/>
            </w:pPr>
            <w:r>
              <w:rPr>
                <w:rFonts w:hint="eastAsia"/>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440" w:type="dxa"/>
            <w:gridSpan w:val="5"/>
            <w:vAlign w:val="center"/>
          </w:tcPr>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rPr>
            </w:pPr>
            <w:r>
              <w:rPr>
                <w:rFonts w:hint="eastAsia"/>
              </w:rPr>
              <w:t>教</w:t>
            </w:r>
            <w:r>
              <w:t xml:space="preserve"> </w:t>
            </w:r>
            <w:r>
              <w:rPr>
                <w:rFonts w:hint="eastAsia"/>
              </w:rPr>
              <w:t>学</w:t>
            </w:r>
            <w:r>
              <w:t xml:space="preserve"> </w:t>
            </w:r>
            <w:r>
              <w:rPr>
                <w:rFonts w:hint="eastAsia"/>
              </w:rPr>
              <w:t>过</w:t>
            </w:r>
            <w:r>
              <w:t xml:space="preserve"> </w:t>
            </w:r>
            <w:r>
              <w:rPr>
                <w:rFonts w:hint="eastAsia"/>
              </w:rPr>
              <w:t>程</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一、导语设计</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在初中我们学过用文言文写作的游记有《小石潭记》、《醉翁亭记》等，这些游记共同的侧重点是什么呢？</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那就是抓住景物的特点，浓笔重彩、精描细绘，表现山水之美。</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我们今天学习王安石的《游褒禅山记》(板书)这篇游记与我们学习过的那些游记不同，它不重在表现山水之美，而是在记游的基础上，用酣畅的笔墨进行大量的议论，记游实际上是个引子，说理才是全文的中心学习这类游记有助于同学们提高思维的能力为此我们共同来研究王安石的《游褒禅山记》。</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二、解题（简介作者及课文）</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学生读注释①，了解作者及课文，教师补充。</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本文是王安石34岁时在任舒州通判时写的一篇游记，借游生议，说明要成就一番事业，除了要有一定的物质条件外，更需要有坚定的志向和顽强的毅力，并提出治学必须采取“深思而慎取”的态度。</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神宗熙宁二年(1069)任参知政事，次年任宰相在神宗支持下，制定并推行农田水利、青苗、均输、保甲、免役、市易等新法，使国力有所加强支持王韶取得熙和等州，改善对西夏的作战形势王安石拜相，他不顾保守派的反对，积极推行新法传有“天变不足畏，祖宗不足法，人言不足恤”的观点，这跟本文“尽吾志也而不能至，可以无悔矣”的观点是一致的因遭到反变法派的猛烈攻击，于熙宁七年(1074)罢相，次年再为相熙宁九年再次辞去相位，退居江宁(现在江苏南京)，潜心学术研究和诗文创作（王安石的词教辅《菩萨蛮》）封舒国公，又改封荆国公，故世称“荆公”。</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元祐元年(1086)司马光执政，废尽新法，王安石忧愤去世卒谥文，故又称“王文公”。</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王安石在文学上也是个革新派他是欧阳修倡导的北宋诗文革新运动的积极参加者，反对北宋初年浮靡的文风，主张文章“务为有补于世”他的诗文多为揭露时弊，反映社会矛盾之作，体现了他的政治主张和抱负他的散文雄健峭拔，在唐宋八大家中独树一帜，诗歌遒劲清新，词虽不多而风格高峻他的作品今存《临川集》、《临川集拾遗》等。</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(了解作者的这些生平事迹，更能深刻地理解这篇游记体散文所蕴含的深意)</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三、整体感知：</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1.放视频，学生跟着阅读课文，注意字词读音。</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2．学生自由朗读课文。</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3．学生集体朗读课文。</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4．对照注释阅读课文，疏通文意。</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5．理清思路，把握结构。</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提问：本文各段落写了什么内容？</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点拨：①（1～2）：记叙——游山经过。</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②（3～4）：议论——游山心得。</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③（5）：记叙的结尾，补叙同游者的籍贯、姓名。</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四、掌握重点文言词句</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学生分小组合作，翻译各段，解决各段的文言字词句，如有疑难，则请其他同学回答，或教师点拨。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1．课文第一段重点掌握词句。</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唐浮图慧褒始舍於其址：居住</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故其后名之曰“褒禅”：“名”，名词活用为动词，命名</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距其院东五里：名→状，往东</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以其乃华山之阳名之也：表判断，为，是</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“……者，……也”表示判断的两种形式：</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今所谓慧空禅院者，褒之庐冢也表示单纯的判断，“者”前是主语，“者”后是谓语。</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所谓华山洞者，以其乃华山之阳名之也。</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今言…“华实”之“华”者，盖音谬也表示因果关系的复合判断“者”在这里除了表示停顿语气外，还有提示原因的作用。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2．课文第二段重点掌握词句</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有泉侧出 名→状，从旁边</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有穴窈然 幽深的样子然，形容词词尾</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问其深 形→名，深度</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则其好游者不能穷也 形→动，到尽头</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余与四人拥火以入 “而”，表修饰</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其进愈难，而其见愈奇 动→名，见到的景象</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比好游者尚不能十一 十分之一</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则其至又加少矣 动→名，到达的人 / 更</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火尚足以明也 形→动，照明</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则或咎其欲出者 有人 / 责怪，埋怨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3．课文第三段掌握下列词句</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往往有得 心得，收获，名词</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以其求思之深而无不在 因为 / 并且，连词</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夷以近…险以远而且，表并列，连词</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古人之观于天地 观察，动词</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非常之观 不平常 / 景观，名词</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常在于险远 形→名，危险遥远的地方</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至于幽暗昏惑而无物以相之 形→名，让人迷惑的地方/到达 / 帮助</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于人为可讥：对于 / 是，算得上，动词</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其孰能讥之乎：难道，副词，表反问语气</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古人之观于天地、山川、草木、鱼虫、鸟兽：介词结构后置句</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不随以止也：不随（之）以止也省略句</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此余之所得也：判断句</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4．课文第四段重点掌握词句</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又以悲夫古书之不存 因为</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后世之谬其传 弄错，使……错，使动用法</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而莫能名者 没有人 / 名→动，识其本名</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何可胜道也哉 尽，完 / 说，动词</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此所以学者不可以不深思 ……的原因</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又以悲夫古书之不存 以（之）悲夫古书之不存省略句</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此所以学者不可以不深思而慎取之也 判断句</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五、布置作业</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1．诵读全文2．将文中出现的有“其”字的句子全部找出来，并归类整理。</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4" w:hRule="atLeast"/>
          <w:jc w:val="center"/>
        </w:trPr>
        <w:tc>
          <w:tcPr>
            <w:tcW w:w="9440" w:type="dxa"/>
            <w:gridSpan w:val="5"/>
          </w:tcPr>
          <w:tbl>
            <w:tblPr>
              <w:tblStyle w:val="3"/>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教学反思</w:t>
                  </w:r>
                </w:p>
              </w:tc>
              <w:tc>
                <w:tcPr>
                  <w:tcW w:w="8907" w:type="dxa"/>
                  <w:tcBorders>
                    <w:top w:val="single" w:color="auto" w:sz="4" w:space="0"/>
                    <w:left w:val="single" w:color="auto" w:sz="4" w:space="0"/>
                    <w:bottom w:val="single" w:color="auto" w:sz="4" w:space="0"/>
                    <w:right w:val="single" w:color="auto" w:sz="4" w:space="0"/>
                  </w:tcBorders>
                </w:tcPr>
                <w:p/>
                <w:p/>
                <w:p/>
                <w:p/>
                <w:p/>
                <w:p/>
                <w:p>
                  <w:pPr>
                    <w:jc w:val="right"/>
                  </w:pPr>
                  <w:r>
                    <w:rPr>
                      <w:rFonts w:hint="eastAsia"/>
                      <w:szCs w:val="21"/>
                    </w:rPr>
                    <w:t>授课时间：</w:t>
                  </w:r>
                  <w:r>
                    <w:rPr>
                      <w:rFonts w:ascii="宋体" w:hAnsi="宋体" w:cs="宋体"/>
                      <w:szCs w:val="21"/>
                    </w:rPr>
                    <w:t>20</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tc>
            </w:tr>
          </w:tbl>
          <w:p>
            <w:pPr>
              <w:spacing w:line="360" w:lineRule="auto"/>
            </w:pPr>
          </w:p>
        </w:tc>
      </w:tr>
    </w:tbl>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b/>
          <w:bCs/>
          <w:sz w:val="44"/>
          <w:szCs w:val="44"/>
        </w:rPr>
      </w:pPr>
      <w:r>
        <w:rPr>
          <w:rFonts w:hint="eastAsia"/>
          <w:b/>
          <w:bCs/>
          <w:sz w:val="44"/>
          <w:szCs w:val="44"/>
        </w:rPr>
        <w:t>教</w:t>
      </w:r>
      <w:r>
        <w:rPr>
          <w:b/>
          <w:bCs/>
          <w:sz w:val="44"/>
          <w:szCs w:val="44"/>
        </w:rPr>
        <w:t xml:space="preserve">  </w:t>
      </w:r>
      <w:r>
        <w:rPr>
          <w:rFonts w:hint="eastAsia"/>
          <w:b/>
          <w:bCs/>
          <w:sz w:val="44"/>
          <w:szCs w:val="44"/>
        </w:rPr>
        <w:t>案</w:t>
      </w:r>
      <w:r>
        <w:rPr>
          <w:b/>
          <w:bCs/>
          <w:sz w:val="44"/>
          <w:szCs w:val="44"/>
        </w:rPr>
        <w:t xml:space="preserve">  </w:t>
      </w:r>
      <w:r>
        <w:rPr>
          <w:rFonts w:hint="eastAsia"/>
          <w:b/>
          <w:bCs/>
          <w:sz w:val="44"/>
          <w:szCs w:val="44"/>
        </w:rPr>
        <w:t>设</w:t>
      </w:r>
      <w:r>
        <w:rPr>
          <w:b/>
          <w:bCs/>
          <w:sz w:val="44"/>
          <w:szCs w:val="44"/>
        </w:rPr>
        <w:t xml:space="preserve">  </w:t>
      </w:r>
      <w:r>
        <w:rPr>
          <w:rFonts w:hint="eastAsia"/>
          <w:b/>
          <w:bCs/>
          <w:sz w:val="44"/>
          <w:szCs w:val="44"/>
        </w:rPr>
        <w:t>计</w:t>
      </w:r>
    </w:p>
    <w:p>
      <w:pPr>
        <w:ind w:firstLine="240" w:firstLineChars="100"/>
        <w:rPr>
          <w:rFonts w:ascii="宋体" w:cs="宋体"/>
          <w:sz w:val="24"/>
        </w:rPr>
      </w:pPr>
      <w:r>
        <w:rPr>
          <w:rFonts w:hint="eastAsia" w:ascii="宋体" w:hAnsi="宋体" w:cs="宋体"/>
          <w:sz w:val="24"/>
        </w:rPr>
        <w:t>备课时间：</w:t>
      </w:r>
      <w:r>
        <w:rPr>
          <w:rFonts w:ascii="宋体" w:hAnsi="宋体" w:cs="宋体"/>
          <w:sz w:val="24"/>
        </w:rPr>
        <w:t>20</w:t>
      </w:r>
      <w:r>
        <w:rPr>
          <w:rFonts w:hint="eastAsia" w:ascii="宋体" w:hAnsi="宋体" w:cs="宋体"/>
          <w:sz w:val="24"/>
          <w:lang w:val="en-US" w:eastAsia="zh-CN"/>
        </w:rPr>
        <w:t>20</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总备课第</w:t>
      </w:r>
      <w:r>
        <w:rPr>
          <w:rFonts w:ascii="宋体" w:hAnsi="宋体" w:cs="宋体"/>
          <w:sz w:val="24"/>
          <w:u w:val="single"/>
        </w:rPr>
        <w:t xml:space="preserve">   </w:t>
      </w:r>
      <w:r>
        <w:rPr>
          <w:rFonts w:hint="eastAsia" w:ascii="宋体" w:hAnsi="宋体" w:cs="宋体"/>
          <w:sz w:val="24"/>
        </w:rPr>
        <w:t>课时</w:t>
      </w:r>
    </w:p>
    <w:tbl>
      <w:tblPr>
        <w:tblStyle w:val="3"/>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21"/>
        <w:gridCol w:w="1139"/>
        <w:gridCol w:w="2612"/>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515" w:type="dxa"/>
            <w:vMerge w:val="restart"/>
            <w:vAlign w:val="center"/>
          </w:tcPr>
          <w:p>
            <w:pPr>
              <w:jc w:val="center"/>
            </w:pPr>
            <w:r>
              <w:rPr>
                <w:rFonts w:hint="eastAsia"/>
              </w:rPr>
              <w:t>单元、章、节</w:t>
            </w:r>
          </w:p>
        </w:tc>
        <w:tc>
          <w:tcPr>
            <w:tcW w:w="1821" w:type="dxa"/>
            <w:vMerge w:val="restart"/>
            <w:vAlign w:val="center"/>
          </w:tcPr>
          <w:p>
            <w:pPr>
              <w:ind w:firstLine="630" w:firstLineChars="300"/>
              <w:jc w:val="both"/>
              <w:rPr>
                <w:rFonts w:hint="default" w:eastAsia="宋体"/>
                <w:lang w:val="en-US" w:eastAsia="zh-CN"/>
              </w:rPr>
            </w:pPr>
            <w:r>
              <w:rPr>
                <w:rFonts w:hint="eastAsia"/>
                <w:lang w:val="en-US" w:eastAsia="zh-CN"/>
              </w:rPr>
              <w:t>游记</w:t>
            </w:r>
          </w:p>
        </w:tc>
        <w:tc>
          <w:tcPr>
            <w:tcW w:w="1139" w:type="dxa"/>
            <w:vMerge w:val="restart"/>
            <w:vAlign w:val="center"/>
          </w:tcPr>
          <w:p>
            <w:pPr>
              <w:jc w:val="center"/>
            </w:pPr>
            <w:r>
              <w:rPr>
                <w:rFonts w:hint="eastAsia"/>
              </w:rPr>
              <w:t>教学内容</w:t>
            </w:r>
          </w:p>
        </w:tc>
        <w:tc>
          <w:tcPr>
            <w:tcW w:w="2612" w:type="dxa"/>
            <w:vMerge w:val="restart"/>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315" w:lineRule="atLeast"/>
              <w:ind w:right="0" w:firstLine="3150" w:firstLineChars="1500"/>
              <w:jc w:val="both"/>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315" w:lineRule="atLeast"/>
              <w:ind w:right="0"/>
              <w:jc w:val="both"/>
              <w:rPr>
                <w:rFonts w:hint="default" w:ascii="Calibri" w:hAnsi="Calibri" w:eastAsia="宋体" w:cs="Times New Roman"/>
                <w:kern w:val="2"/>
                <w:sz w:val="21"/>
                <w:szCs w:val="24"/>
                <w:lang w:val="en-US" w:eastAsia="zh-CN" w:bidi="ar-SA"/>
              </w:rPr>
            </w:pPr>
            <w:r>
              <w:rPr>
                <w:color w:val="333333"/>
                <w:spacing w:val="8"/>
                <w:sz w:val="24"/>
                <w:szCs w:val="24"/>
              </w:rPr>
              <w:t>《</w:t>
            </w:r>
            <w:r>
              <w:rPr>
                <w:rFonts w:hint="eastAsia"/>
                <w:color w:val="333333"/>
                <w:spacing w:val="8"/>
                <w:sz w:val="24"/>
                <w:szCs w:val="24"/>
                <w:lang w:val="en-US" w:eastAsia="zh-CN"/>
              </w:rPr>
              <w:t>游褒禅山记</w:t>
            </w:r>
            <w:r>
              <w:rPr>
                <w:color w:val="333333"/>
                <w:spacing w:val="8"/>
                <w:sz w:val="24"/>
                <w:szCs w:val="24"/>
              </w:rPr>
              <w:t>》</w:t>
            </w:r>
          </w:p>
          <w:p>
            <w:pPr>
              <w:jc w:val="center"/>
            </w:pPr>
          </w:p>
        </w:tc>
        <w:tc>
          <w:tcPr>
            <w:tcW w:w="2353" w:type="dxa"/>
            <w:vAlign w:val="center"/>
          </w:tcPr>
          <w:p>
            <w:pPr>
              <w:jc w:val="center"/>
            </w:pPr>
            <w:r>
              <w:rPr>
                <w:rFonts w:hint="eastAsia"/>
              </w:rPr>
              <w:t>需课时：</w:t>
            </w:r>
            <w:r>
              <w:rPr>
                <w:rFonts w:hint="eastAsia"/>
                <w:lang w:val="en-US" w:eastAsia="zh-CN"/>
              </w:rPr>
              <w:t>3</w:t>
            </w:r>
            <w:r>
              <w:rPr>
                <w:rFonts w:hint="eastAsia"/>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515" w:type="dxa"/>
            <w:vMerge w:val="continue"/>
            <w:vAlign w:val="center"/>
          </w:tcPr>
          <w:p>
            <w:pPr>
              <w:jc w:val="center"/>
            </w:pPr>
          </w:p>
        </w:tc>
        <w:tc>
          <w:tcPr>
            <w:tcW w:w="1821" w:type="dxa"/>
            <w:vMerge w:val="continue"/>
            <w:vAlign w:val="center"/>
          </w:tcPr>
          <w:p>
            <w:pPr>
              <w:jc w:val="center"/>
            </w:pPr>
          </w:p>
        </w:tc>
        <w:tc>
          <w:tcPr>
            <w:tcW w:w="1139" w:type="dxa"/>
            <w:vMerge w:val="continue"/>
            <w:vAlign w:val="center"/>
          </w:tcPr>
          <w:p>
            <w:pPr>
              <w:jc w:val="center"/>
            </w:pPr>
          </w:p>
        </w:tc>
        <w:tc>
          <w:tcPr>
            <w:tcW w:w="2612" w:type="dxa"/>
            <w:vMerge w:val="continue"/>
            <w:vAlign w:val="center"/>
          </w:tcPr>
          <w:p>
            <w:pPr>
              <w:jc w:val="center"/>
            </w:pPr>
          </w:p>
        </w:tc>
        <w:tc>
          <w:tcPr>
            <w:tcW w:w="2353" w:type="dxa"/>
            <w:vAlign w:val="center"/>
          </w:tcPr>
          <w:p>
            <w:pPr>
              <w:jc w:val="left"/>
              <w:rPr>
                <w:rFonts w:hint="eastAsia" w:eastAsia="宋体"/>
                <w:lang w:val="en-US" w:eastAsia="zh-CN"/>
              </w:rPr>
            </w:pPr>
            <w:r>
              <w:rPr>
                <w:rFonts w:hint="eastAsia"/>
              </w:rPr>
              <w:t>第</w:t>
            </w:r>
            <w:r>
              <w:rPr>
                <w:u w:val="single"/>
              </w:rPr>
              <w:t xml:space="preserve">  </w:t>
            </w:r>
            <w:r>
              <w:rPr>
                <w:rFonts w:hint="eastAsia"/>
                <w:u w:val="single"/>
                <w:lang w:val="en-US" w:eastAsia="zh-CN"/>
              </w:rPr>
              <w:t>2</w:t>
            </w:r>
            <w:r>
              <w:rPr>
                <w:rFonts w:hint="eastAsia"/>
              </w:rPr>
              <w:t>课时</w:t>
            </w:r>
            <w:r>
              <w:t xml:space="preserve">  </w:t>
            </w:r>
            <w:r>
              <w:rPr>
                <w:rFonts w:hint="eastAsia"/>
              </w:rPr>
              <w:t>课型</w:t>
            </w:r>
            <w:r>
              <w:rPr>
                <w:rFonts w:hint="eastAsia"/>
                <w:lang w:val="en-US" w:eastAsia="zh-CN"/>
              </w:rPr>
              <w:t xml:space="preserve"> 新授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515" w:type="dxa"/>
            <w:vAlign w:val="center"/>
          </w:tcPr>
          <w:p>
            <w:pPr>
              <w:jc w:val="center"/>
            </w:pPr>
            <w:r>
              <w:rPr>
                <w:rFonts w:hint="eastAsia"/>
              </w:rPr>
              <w:t>教学目标</w:t>
            </w:r>
          </w:p>
        </w:tc>
        <w:tc>
          <w:tcPr>
            <w:tcW w:w="7925" w:type="dxa"/>
            <w:gridSpan w:val="4"/>
            <w:vAlign w:val="center"/>
          </w:tcPr>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1．研习课文</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2．理清课文前后两部分的内在联系，弄清因事说理叙议如何有机结合。</w:t>
            </w:r>
          </w:p>
          <w:p>
            <w:pPr>
              <w:shd w:val="clear" w:color="auto" w:fill="FFFFFF"/>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515" w:type="dxa"/>
            <w:vAlign w:val="center"/>
          </w:tcPr>
          <w:p>
            <w:pPr>
              <w:jc w:val="center"/>
            </w:pPr>
            <w:r>
              <w:rPr>
                <w:rFonts w:hint="eastAsia"/>
              </w:rPr>
              <w:t>重点难点</w:t>
            </w:r>
          </w:p>
        </w:tc>
        <w:tc>
          <w:tcPr>
            <w:tcW w:w="7925" w:type="dxa"/>
            <w:gridSpan w:val="4"/>
            <w:vAlign w:val="center"/>
          </w:tcPr>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right="0" w:rightChars="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理清课文前后两部分的内在联系，弄清因事说理叙议如何有机结合。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p>
          <w:p>
            <w:pPr>
              <w:widowControl/>
              <w:shd w:val="clear" w:color="auto" w:fill="FFFFFF"/>
              <w:spacing w:line="315" w:lineRule="atLeast"/>
              <w:jc w:val="left"/>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515" w:type="dxa"/>
            <w:vAlign w:val="center"/>
          </w:tcPr>
          <w:p>
            <w:pPr>
              <w:jc w:val="center"/>
            </w:pPr>
            <w:r>
              <w:rPr>
                <w:rFonts w:hint="eastAsia"/>
              </w:rPr>
              <w:t>教学方法</w:t>
            </w:r>
          </w:p>
        </w:tc>
        <w:tc>
          <w:tcPr>
            <w:tcW w:w="2960" w:type="dxa"/>
            <w:gridSpan w:val="2"/>
            <w:vAlign w:val="center"/>
          </w:tcPr>
          <w:p>
            <w:pPr>
              <w:jc w:val="center"/>
              <w:rPr>
                <w:rFonts w:hint="default" w:eastAsia="宋体"/>
                <w:lang w:val="en-US" w:eastAsia="zh-CN"/>
              </w:rPr>
            </w:pPr>
            <w:r>
              <w:rPr>
                <w:rFonts w:hint="eastAsia"/>
                <w:lang w:val="en-US" w:eastAsia="zh-CN"/>
              </w:rPr>
              <w:t>讲授 讨论</w:t>
            </w:r>
          </w:p>
        </w:tc>
        <w:tc>
          <w:tcPr>
            <w:tcW w:w="2612" w:type="dxa"/>
            <w:vAlign w:val="center"/>
          </w:tcPr>
          <w:p>
            <w:pPr>
              <w:jc w:val="center"/>
            </w:pPr>
            <w:r>
              <w:rPr>
                <w:rFonts w:hint="eastAsia"/>
              </w:rPr>
              <w:t>教学辅助手段</w:t>
            </w:r>
          </w:p>
        </w:tc>
        <w:tc>
          <w:tcPr>
            <w:tcW w:w="2353" w:type="dxa"/>
            <w:vAlign w:val="center"/>
          </w:tcPr>
          <w:p>
            <w:pPr>
              <w:jc w:val="center"/>
            </w:pPr>
            <w:r>
              <w:rPr>
                <w:rFonts w:hint="eastAsia"/>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440" w:type="dxa"/>
            <w:gridSpan w:val="5"/>
            <w:vAlign w:val="center"/>
          </w:tcPr>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rPr>
            </w:pPr>
            <w:r>
              <w:rPr>
                <w:rFonts w:hint="eastAsia"/>
              </w:rPr>
              <w:t>教</w:t>
            </w:r>
            <w:r>
              <w:t xml:space="preserve"> </w:t>
            </w:r>
            <w:r>
              <w:rPr>
                <w:rFonts w:hint="eastAsia"/>
              </w:rPr>
              <w:t>学</w:t>
            </w:r>
            <w:r>
              <w:t xml:space="preserve"> </w:t>
            </w:r>
            <w:r>
              <w:rPr>
                <w:rFonts w:hint="eastAsia"/>
              </w:rPr>
              <w:t>过</w:t>
            </w:r>
            <w:r>
              <w:t xml:space="preserve"> </w:t>
            </w:r>
            <w:r>
              <w:rPr>
                <w:rFonts w:hint="eastAsia"/>
              </w:rPr>
              <w:t>程</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一、导语设计</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学习文言文，重要的是诵读，诵读成咏方能加深理解内容现在按学习小组(四人)展开诵读，第一小组读完第一段，第二小组接着第二段，依次轮流下去，看哪个小组读得最好。</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二、集体朗诵全文，注意语感</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三、研习、讨论课文内容</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（一）第一段介绍褒禅山概况</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学生分小组思考、讨论下列问题后，派代表回答</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1．段依次记述（每格一字）：山之、山之、山之、山之</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2．画出空间方位图</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3．讨论：为什么要特别提及仆碑上的文字？对“花”和“华”的辨析体现了王安石爱钻字眼的习惯，他也因此受时人讥笑，你是如何看待他的这个习惯的？</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4．为什么说“华（ huá ）山”是“音谬”？</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学生思考后回答</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点拨：1．名寺 洞 碑</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2．写仆碑是为后面议论埋下伏笔，作者认真考证仆碑上的文字，探究事理的本源，充分体现了他“求思之深”的探索精神，也是后面议论中提出“深思而慎取”的依据。</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3．汉字最初无“花”字，“花”小篆中写成 像花形；“花”是后起字，有此字后“花”与“华”分开，“华”才读“huá”王安石认为碑文上的“花”是按照古音写的今字，仍然应读 “huā”，而不应该读成“huá”。</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（二）第四段写由仆碑而得的感悟</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1.指名朗读</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2.学生讨论：在本段中作者表达了怎样的观点？这一观点是怎样演绎而来的？第四段又是如何与第一段照应的？</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点拨：作者认为治学不应当轻信盲从，以讹传讹，而应该“深思慎取”，也就是要经过自己的头脑认真辨析思考，然后谨慎地吸取其中有真理的部分，扬弃那些有谬误的东西这一观点无疑是正确的作者采用“不……不……”(“不可以不深思而慎取之也”)的双重否定，强调突出“深思而慎取——深刻的思考，谨慎的采用对于治学的重要”这种治学态度是作者本人躬身实践的。</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作者从第一段的“有碑仆道其文漫灭”，联想到“古书之不存”，从“音谬”联想到“谬其传”的情况不可“胜道”，自然地得出治学必须“深思慎取”的结论前面提到的“仆碑”，为后面的议论“深思慎取”的治学态度提供了具体的资料前面是伏笔，后面是照应有叙有议，照应紧密构思严谨，逻辑严密。</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（三）第二段记游华山洞的经过</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1．提问：第二段可以分成几层？</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可以分为两层：第一层：简介前洞和后洞第二层：追记后洞中所见并表示遗憾心情。</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点拨：这一段先介绍前洞和后洞，接着写游后洞的情形，然后简析他们本来具有进洞尽游的条件，结果却是半途折回介绍前洞极简略，只点明因“平旷”而“记游者甚众”；介绍后洞较具体，写“窈然”，突出其艰险，写“寒”和“深”都与“窈然”有关，也是“好游者不能穷”的原因写前后两洞相互照应，着力突出“窈然”——洞险、深、尽、寒，为下文写半途退出作铺垫。</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2．提问：运用了哪些对比?有哪些作用?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点拨：略写前洞(19字)，较详细地写了后洞特点及游后洞的所见所感多处设比：①前洞的平旷与后洞的幽深对比；②前洞“记游者甚众”与后洞“来而记之者已少”对比；③“余所至”之浅与“好游者”所至相比；④进洞时“其见愈奇”的欣喜与出洞后“不得极夫游之乐”的懊悔相比（欣喜和懊悔两种情感，哪一种对文意来说更重要？）作用是为第二部分的议论作铺垫。</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本段写游洞，并不写景，只是写了半途退出的经过，这与第一段中写上山独写一块倒在路上的碑类似显然记游不是重要的，而是借以表达自己的观点，记游是为后面进行议论准备材料的。</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（四）研习第三段</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1.本段着重写什么?阐述了什么观点？学生思考后回答</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明确：写游褒禅山的心得体会，抒发自己的感想，即第一句中所说的“有叹” 阐述“尽吾志”的观点。</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以“于是余有叹焉”一句承上启下“于是”的“是”什么意思？让学生在第二段中找“是”所指代的“这种情况”都包括哪些语句？——“是”说“游华山洞”从“余与四人拥火以入”到“火尚足以明也”。</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（2）“叹”字承上文的“悔”字，领起全段启下，自然地转入议论。</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2.主要写古人“往往有得”的原因：“求思之深而无不在也”，不是随意的，而是经过深思而悟出来的作者以游洞为喻，自己无所得产生的懊悔，就是因为没有“求思之深”。</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3．写现在一般“世人”的做法：</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“夫夷以近，则游者众”，照应“其下平旷，有泉侧出，而记游者甚众”；</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险以远，则至者少”，照应“由山以上五六里，有穴窈然，人之甚寒，问其深，则其好游不能穷也”。</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4．对比之后，重点阐述作者自己的观点：</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“而世之奇伟、瑰怪、非常之观，常在于险远，而人之所罕至焉”，照应“入之愈深，其进愈难，而其见愈奇”。</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为李进同志题所摄庐山仙人洞照</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暮色苍茫看劲松，乱云飞渡仍从容</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天生一个仙人洞，无限风光在险峰</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5．用“奇伟、瑰怪、非常之观”比喻人生的最高境界，但这种境界“人之所罕至”，不是每个人都可以达到的怎样才能达到呢？学生找出文句后回答。</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作者提出了三个“不能至”：“非有志者不能至也”，“力不足者，亦不能至也”，“无物以相之，亦不能至也”去掉双重否定（作用是加强论述的力度），就是“三有”：有志（坚定的志向）、有力（不断的艰苦努力）、有物（一定的物质条件）。</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6．三者关系：</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那么为什么后悔？是不是自己能力不够？是不是没有相应的条件？学生思考后回答。</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因为余之力尚是以入，火足以明也，却随之出，不得极夫游之乐也，根结在于他的意志不坚定。</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作者从顺序上肯定了“志”的重要首先要有“志”，其次要有“力”，再次要有“物”。</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作者又对“志”的重要性，作进一步的强调和申述。</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“然力足以至焉，于人为可讥，而在己为有悔”，有“力”而无“志”，因此未达目的，这会被人讥笑，自己也会悔恨；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“尽吾志也而不能至者，可以无悔矣，其孰能讥之乎？”指出只要“尽吾志”，虽然不能达到目的，也可以无讥无悔；</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这一正一反得出结论：“尽吾志，可无悔”照应“既其出，或咎其欲出者，而予亦悔其随之而不得极夫游之乐也”。</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7.最后，以“此余之所得也”，收束这一段议论，归结到作者思想上的收获，回应“古人之观于天地、山川、草木、虫鱼、乌兽，往往有得，以其求思之深而无不在也”这段议论以古人“有得”始，以自己“所得”终，前后呼应 。</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四、问题探究</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1.思考本文的记叙部分和议论部分是怎样紧密联系的？(提示：可以从过渡、衔接，前后呼应，游山与治学处世三方面联系上思考)</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明确：文章两部分之间使用了过渡句“而余亦悔其随之而不得极夫游之乐也”开启下文，第三段第一句“于是余有叹焉”，紧承上文，领起全段使文章前后衔接，过渡自然。</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再一是文字上前后呼应，意思贯通正因为回家探亲途中游山探胜，却因轻信随从，失诸检察，半途而废，褒禅山最为奇妙之处未能一睹为快，作者悔之不已，感慨系之，从而悟出“志”“力”“物”三者之间的辩证关系；正因为游览中发现“有碑仆道”，“花”“华”音讹，于是由此发出了“学者不可以不深思而慎取”的感慨前后照应的句子体现了记叙正是为议论部分埋下伏笔，使议论有依据，议论部分是记叙的深化，是从具体事物中悟出来的含有哲理的感想。</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还有一点就是作者把治学处世比做游山，抓住它们之间的共同点：都必须具有百折不挠的意志和深思慎取的态度游览中总结出“世之奇伟、瑰怪、非常之观，常在于险远”“非有志者不能至”的深刻道理从而勉励自己和读者在治学、处事、创业的道路上坚定志向，最大限度地发挥主观能动性，去攀登风光无限的险峰。</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2．本文由“不得极夫游之乐”生发出“尽吾志”的观点，又由“仆碑”生发出“深思慎取”的观点，这两个观点彼此有联系吗？</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明确：“尽吾志”的观点——这正是“求思之深而无不在”的结果由此可见，“尽吾志”的观点跟“深思慎取”的观点是有联系的：“尽吾志”的观点是在“深思慎取”的基础上产生的；有了这个观点，又能反过来促使人们“深思慎取”，二者是相辅相成的（“古人之观于天地……以其求思之深而无不在也”这句话，即可看出两个观点的联系）。</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3．讨论总结这篇课文写作上的特点</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讨论、归纳，学生补充，教师订正</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明确：(1)因事说理、叙议结合</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本文是一篇游记，但不同于一般的游记，不重山川风物之美的描写和景物的叙述，或者寄托某种情致怀抱，而重在借景生论，因事说理，以说理为目的记游的内容只是说理的材料和依据。</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文章以记游作比喻，引发出议论，因事说理，以小见大准确而充分地阐述了一种人生哲理，给人以思想上的内涵启发，使完美的形式和思想和谐统一文章前部分记游山，后部分谈道理，记叙和议论紧密结合，前后呼应文中记游内容是后文议论的基础，是议论的事实依据；议论是记游内容在思想认识上的理性概括和深化。</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全文即事明理记游，处处为议论埋下伏笔；议论，句句与记叙相呼应游踪交代完整清晰，见闻却言约而事丰，未尽的游兴在议论中得以宣泄，强烈的感受在议论中尽情地倾吐“记”为“议”提供形象依据，“议”是“记”的最后升华二者相得益彰，浑然一体，平中见奇，别开生面。</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(2)本文重点突出，详略得当</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本文的主旨在于阐述要有“志”“尽吾志”并“深思而慎取”，为此选材游褒禅山从略，游华山洞详写，记仆碑文字从详，其余从略；前洞和后洞概况从略，游后洞从详，又以写心情“悔”从详。</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五、学生阅读全文</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六、背诵第二段</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七、课堂小结</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本文最大的特点是因事见理、叙议结合前两段记游，第三、四段发议论记游为发议论做铺垫，而发议论则句句回应记游两者相得益彰，浑然一体学习本文要掌握这种在记叙的基础上深入发表有道理的议论的方法。</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作者通过游褒禅山的所见和所感，阐明了无论是治学还是处事，都必须具有百折不挠的意志和“深思而慎取”的态度，以及只有这样才能取得成功的道理。</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八、布置作业：背诵课文三段，力争全文背诵。</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4" w:hRule="atLeast"/>
          <w:jc w:val="center"/>
        </w:trPr>
        <w:tc>
          <w:tcPr>
            <w:tcW w:w="9440" w:type="dxa"/>
            <w:gridSpan w:val="5"/>
          </w:tcPr>
          <w:p>
            <w:pPr>
              <w:numPr>
                <w:ilvl w:val="0"/>
                <w:numId w:val="0"/>
              </w:numPr>
              <w:rPr>
                <w:rFonts w:hint="eastAsia" w:ascii="宋体" w:hAnsi="宋体" w:cs="宋体"/>
                <w:sz w:val="24"/>
                <w:szCs w:val="24"/>
                <w:u w:val="single"/>
                <w:lang w:val="en-US" w:eastAsia="zh-CN"/>
              </w:rPr>
            </w:pPr>
          </w:p>
          <w:tbl>
            <w:tblPr>
              <w:tblStyle w:val="3"/>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板书设计</w:t>
                  </w:r>
                </w:p>
              </w:tc>
              <w:tc>
                <w:tcPr>
                  <w:tcW w:w="8907" w:type="dxa"/>
                  <w:tcBorders>
                    <w:top w:val="single" w:color="auto" w:sz="4" w:space="0"/>
                    <w:left w:val="single" w:color="auto" w:sz="4" w:space="0"/>
                    <w:bottom w:val="single" w:color="auto" w:sz="4" w:space="0"/>
                    <w:right w:val="single" w:color="auto" w:sz="4" w:space="0"/>
                  </w:tcBorders>
                </w:tcPr>
                <w:p>
                  <w:pPr>
                    <w:ind w:firstLine="1995" w:firstLineChars="9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教学反思</w:t>
                  </w:r>
                </w:p>
              </w:tc>
              <w:tc>
                <w:tcPr>
                  <w:tcW w:w="8907" w:type="dxa"/>
                  <w:tcBorders>
                    <w:top w:val="single" w:color="auto" w:sz="4" w:space="0"/>
                    <w:left w:val="single" w:color="auto" w:sz="4" w:space="0"/>
                    <w:bottom w:val="single" w:color="auto" w:sz="4" w:space="0"/>
                    <w:right w:val="single" w:color="auto" w:sz="4" w:space="0"/>
                  </w:tcBorders>
                </w:tcPr>
                <w:p/>
                <w:p/>
                <w:p/>
                <w:p/>
                <w:p/>
                <w:p/>
                <w:p>
                  <w:pPr>
                    <w:jc w:val="right"/>
                  </w:pPr>
                  <w:r>
                    <w:rPr>
                      <w:rFonts w:hint="eastAsia"/>
                      <w:szCs w:val="21"/>
                    </w:rPr>
                    <w:t>授课时间：</w:t>
                  </w:r>
                  <w:r>
                    <w:rPr>
                      <w:rFonts w:ascii="宋体" w:hAnsi="宋体" w:cs="宋体"/>
                      <w:szCs w:val="21"/>
                    </w:rPr>
                    <w:t>20</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tc>
            </w:tr>
          </w:tbl>
          <w:p>
            <w:pPr>
              <w:spacing w:line="360" w:lineRule="auto"/>
            </w:pPr>
          </w:p>
        </w:tc>
      </w:tr>
    </w:tbl>
    <w:p>
      <w:pPr>
        <w:jc w:val="cente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b/>
          <w:bCs/>
          <w:sz w:val="44"/>
          <w:szCs w:val="44"/>
        </w:rPr>
      </w:pPr>
      <w:bookmarkStart w:id="0" w:name="_GoBack"/>
      <w:bookmarkEnd w:id="0"/>
      <w:r>
        <w:rPr>
          <w:rFonts w:hint="eastAsia"/>
          <w:b/>
          <w:bCs/>
          <w:sz w:val="44"/>
          <w:szCs w:val="44"/>
        </w:rPr>
        <w:t>教</w:t>
      </w:r>
      <w:r>
        <w:rPr>
          <w:b/>
          <w:bCs/>
          <w:sz w:val="44"/>
          <w:szCs w:val="44"/>
        </w:rPr>
        <w:t xml:space="preserve">  </w:t>
      </w:r>
      <w:r>
        <w:rPr>
          <w:rFonts w:hint="eastAsia"/>
          <w:b/>
          <w:bCs/>
          <w:sz w:val="44"/>
          <w:szCs w:val="44"/>
        </w:rPr>
        <w:t>案</w:t>
      </w:r>
      <w:r>
        <w:rPr>
          <w:b/>
          <w:bCs/>
          <w:sz w:val="44"/>
          <w:szCs w:val="44"/>
        </w:rPr>
        <w:t xml:space="preserve">  </w:t>
      </w:r>
      <w:r>
        <w:rPr>
          <w:rFonts w:hint="eastAsia"/>
          <w:b/>
          <w:bCs/>
          <w:sz w:val="44"/>
          <w:szCs w:val="44"/>
        </w:rPr>
        <w:t>设</w:t>
      </w:r>
      <w:r>
        <w:rPr>
          <w:b/>
          <w:bCs/>
          <w:sz w:val="44"/>
          <w:szCs w:val="44"/>
        </w:rPr>
        <w:t xml:space="preserve">  </w:t>
      </w:r>
      <w:r>
        <w:rPr>
          <w:rFonts w:hint="eastAsia"/>
          <w:b/>
          <w:bCs/>
          <w:sz w:val="44"/>
          <w:szCs w:val="44"/>
        </w:rPr>
        <w:t>计</w:t>
      </w:r>
    </w:p>
    <w:p>
      <w:pPr>
        <w:ind w:firstLine="240" w:firstLineChars="100"/>
        <w:rPr>
          <w:rFonts w:ascii="宋体" w:cs="宋体"/>
          <w:sz w:val="24"/>
        </w:rPr>
      </w:pPr>
      <w:r>
        <w:rPr>
          <w:rFonts w:hint="eastAsia" w:ascii="宋体" w:hAnsi="宋体" w:cs="宋体"/>
          <w:sz w:val="24"/>
        </w:rPr>
        <w:t>备课时间：</w:t>
      </w:r>
      <w:r>
        <w:rPr>
          <w:rFonts w:ascii="宋体" w:hAnsi="宋体" w:cs="宋体"/>
          <w:sz w:val="24"/>
          <w:u w:val="single"/>
        </w:rPr>
        <w:t>20</w:t>
      </w:r>
      <w:r>
        <w:rPr>
          <w:rFonts w:hint="eastAsia" w:ascii="宋体" w:hAnsi="宋体" w:cs="宋体"/>
          <w:sz w:val="24"/>
          <w:u w:val="single"/>
          <w:lang w:val="en-US" w:eastAsia="zh-CN"/>
        </w:rPr>
        <w:t>20</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总备课第</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课时</w:t>
      </w:r>
    </w:p>
    <w:tbl>
      <w:tblPr>
        <w:tblStyle w:val="3"/>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21"/>
        <w:gridCol w:w="1139"/>
        <w:gridCol w:w="2612"/>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515" w:type="dxa"/>
            <w:vMerge w:val="restart"/>
            <w:vAlign w:val="center"/>
          </w:tcPr>
          <w:p>
            <w:pPr>
              <w:jc w:val="center"/>
            </w:pPr>
            <w:r>
              <w:rPr>
                <w:rFonts w:hint="eastAsia"/>
              </w:rPr>
              <w:t>单元、章、节</w:t>
            </w:r>
          </w:p>
        </w:tc>
        <w:tc>
          <w:tcPr>
            <w:tcW w:w="1821" w:type="dxa"/>
            <w:vMerge w:val="restart"/>
            <w:vAlign w:val="center"/>
          </w:tcPr>
          <w:p>
            <w:pPr>
              <w:ind w:firstLine="630" w:firstLineChars="300"/>
              <w:jc w:val="both"/>
              <w:rPr>
                <w:rFonts w:hint="default" w:eastAsia="宋体"/>
                <w:lang w:val="en-US" w:eastAsia="zh-CN"/>
              </w:rPr>
            </w:pPr>
            <w:r>
              <w:rPr>
                <w:rFonts w:hint="eastAsia"/>
                <w:lang w:val="en-US" w:eastAsia="zh-CN"/>
              </w:rPr>
              <w:t>游记</w:t>
            </w:r>
          </w:p>
        </w:tc>
        <w:tc>
          <w:tcPr>
            <w:tcW w:w="1139" w:type="dxa"/>
            <w:vMerge w:val="restart"/>
            <w:vAlign w:val="center"/>
          </w:tcPr>
          <w:p>
            <w:pPr>
              <w:jc w:val="center"/>
            </w:pPr>
            <w:r>
              <w:rPr>
                <w:rFonts w:hint="eastAsia"/>
              </w:rPr>
              <w:t>教学内容</w:t>
            </w:r>
          </w:p>
        </w:tc>
        <w:tc>
          <w:tcPr>
            <w:tcW w:w="2612" w:type="dxa"/>
            <w:vMerge w:val="restart"/>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315" w:lineRule="atLeast"/>
              <w:ind w:right="0" w:firstLine="3150" w:firstLineChars="1500"/>
              <w:jc w:val="both"/>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315" w:lineRule="atLeast"/>
              <w:ind w:right="0"/>
              <w:jc w:val="both"/>
              <w:rPr>
                <w:rFonts w:hint="default" w:ascii="Calibri" w:hAnsi="Calibri" w:eastAsia="宋体" w:cs="Times New Roman"/>
                <w:kern w:val="2"/>
                <w:sz w:val="21"/>
                <w:szCs w:val="24"/>
                <w:lang w:val="en-US" w:eastAsia="zh-CN" w:bidi="ar-SA"/>
              </w:rPr>
            </w:pPr>
            <w:r>
              <w:rPr>
                <w:color w:val="333333"/>
                <w:spacing w:val="8"/>
                <w:sz w:val="24"/>
                <w:szCs w:val="24"/>
              </w:rPr>
              <w:t>《</w:t>
            </w:r>
            <w:r>
              <w:rPr>
                <w:rFonts w:hint="eastAsia"/>
                <w:color w:val="333333"/>
                <w:spacing w:val="8"/>
                <w:sz w:val="24"/>
                <w:szCs w:val="24"/>
                <w:lang w:val="en-US" w:eastAsia="zh-CN"/>
              </w:rPr>
              <w:t>游褒禅山记</w:t>
            </w:r>
            <w:r>
              <w:rPr>
                <w:color w:val="333333"/>
                <w:spacing w:val="8"/>
                <w:sz w:val="24"/>
                <w:szCs w:val="24"/>
              </w:rPr>
              <w:t>》</w:t>
            </w:r>
          </w:p>
          <w:p>
            <w:pPr>
              <w:jc w:val="center"/>
            </w:pPr>
          </w:p>
        </w:tc>
        <w:tc>
          <w:tcPr>
            <w:tcW w:w="2353" w:type="dxa"/>
            <w:vAlign w:val="center"/>
          </w:tcPr>
          <w:p>
            <w:pPr>
              <w:jc w:val="center"/>
            </w:pPr>
            <w:r>
              <w:rPr>
                <w:rFonts w:hint="eastAsia"/>
              </w:rPr>
              <w:t>需课时：</w:t>
            </w:r>
            <w:r>
              <w:rPr>
                <w:rFonts w:hint="eastAsia"/>
                <w:lang w:val="en-US" w:eastAsia="zh-CN"/>
              </w:rPr>
              <w:t>3</w:t>
            </w:r>
            <w:r>
              <w:rPr>
                <w:rFonts w:hint="eastAsia"/>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515" w:type="dxa"/>
            <w:vMerge w:val="continue"/>
            <w:vAlign w:val="center"/>
          </w:tcPr>
          <w:p>
            <w:pPr>
              <w:jc w:val="center"/>
            </w:pPr>
          </w:p>
        </w:tc>
        <w:tc>
          <w:tcPr>
            <w:tcW w:w="1821" w:type="dxa"/>
            <w:vMerge w:val="continue"/>
            <w:vAlign w:val="center"/>
          </w:tcPr>
          <w:p>
            <w:pPr>
              <w:jc w:val="center"/>
            </w:pPr>
          </w:p>
        </w:tc>
        <w:tc>
          <w:tcPr>
            <w:tcW w:w="1139" w:type="dxa"/>
            <w:vMerge w:val="continue"/>
            <w:vAlign w:val="center"/>
          </w:tcPr>
          <w:p>
            <w:pPr>
              <w:jc w:val="center"/>
            </w:pPr>
          </w:p>
        </w:tc>
        <w:tc>
          <w:tcPr>
            <w:tcW w:w="2612" w:type="dxa"/>
            <w:vMerge w:val="continue"/>
            <w:vAlign w:val="center"/>
          </w:tcPr>
          <w:p>
            <w:pPr>
              <w:jc w:val="center"/>
            </w:pPr>
          </w:p>
        </w:tc>
        <w:tc>
          <w:tcPr>
            <w:tcW w:w="2353" w:type="dxa"/>
            <w:vAlign w:val="center"/>
          </w:tcPr>
          <w:p>
            <w:pPr>
              <w:jc w:val="left"/>
              <w:rPr>
                <w:rFonts w:hint="eastAsia" w:eastAsia="宋体"/>
                <w:lang w:val="en-US" w:eastAsia="zh-CN"/>
              </w:rPr>
            </w:pPr>
            <w:r>
              <w:rPr>
                <w:rFonts w:hint="eastAsia"/>
              </w:rPr>
              <w:t>第</w:t>
            </w:r>
            <w:r>
              <w:rPr>
                <w:u w:val="single"/>
              </w:rPr>
              <w:t xml:space="preserve">  </w:t>
            </w:r>
            <w:r>
              <w:rPr>
                <w:rFonts w:hint="eastAsia"/>
                <w:u w:val="single"/>
                <w:lang w:val="en-US" w:eastAsia="zh-CN"/>
              </w:rPr>
              <w:t xml:space="preserve">3 </w:t>
            </w:r>
            <w:r>
              <w:rPr>
                <w:rFonts w:hint="eastAsia"/>
              </w:rPr>
              <w:t>课时</w:t>
            </w:r>
            <w:r>
              <w:t xml:space="preserve">  </w:t>
            </w:r>
            <w:r>
              <w:rPr>
                <w:rFonts w:hint="eastAsia"/>
              </w:rPr>
              <w:t>课型</w:t>
            </w:r>
            <w:r>
              <w:rPr>
                <w:rFonts w:hint="eastAsia"/>
                <w:u w:val="single"/>
                <w:lang w:val="en-US" w:eastAsia="zh-CN"/>
              </w:rPr>
              <w:t>新授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515" w:type="dxa"/>
            <w:vAlign w:val="center"/>
          </w:tcPr>
          <w:p>
            <w:pPr>
              <w:jc w:val="center"/>
            </w:pPr>
            <w:r>
              <w:rPr>
                <w:rFonts w:hint="eastAsia"/>
              </w:rPr>
              <w:t>教学目标</w:t>
            </w:r>
          </w:p>
        </w:tc>
        <w:tc>
          <w:tcPr>
            <w:tcW w:w="7925" w:type="dxa"/>
            <w:gridSpan w:val="4"/>
            <w:vAlign w:val="center"/>
          </w:tcPr>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1．辨析词类活用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420" w:firstLineChars="200"/>
            </w:pPr>
            <w:r>
              <w:rPr>
                <w:rFonts w:hint="eastAsia" w:ascii="Calibri" w:hAnsi="Calibri" w:eastAsia="宋体" w:cs="Times New Roman"/>
                <w:kern w:val="2"/>
                <w:sz w:val="21"/>
                <w:szCs w:val="24"/>
                <w:lang w:val="en-US" w:eastAsia="zh-CN" w:bidi="ar-SA"/>
              </w:rPr>
              <w:t>2.指导整理“其”字的几种用法</w:t>
            </w:r>
          </w:p>
          <w:p>
            <w:pPr>
              <w:shd w:val="clear" w:color="auto" w:fill="FFFFFF"/>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15" w:type="dxa"/>
            <w:vAlign w:val="center"/>
          </w:tcPr>
          <w:p>
            <w:pPr>
              <w:jc w:val="center"/>
            </w:pPr>
            <w:r>
              <w:rPr>
                <w:rFonts w:hint="eastAsia"/>
              </w:rPr>
              <w:t>重点难点</w:t>
            </w:r>
          </w:p>
        </w:tc>
        <w:tc>
          <w:tcPr>
            <w:tcW w:w="7925" w:type="dxa"/>
            <w:gridSpan w:val="4"/>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Calibri" w:hAnsi="Calibri" w:eastAsia="宋体" w:cs="Times New Roman"/>
                <w:kern w:val="2"/>
                <w:sz w:val="21"/>
                <w:szCs w:val="24"/>
                <w:lang w:val="en-US" w:eastAsia="zh-CN" w:bidi="ar-SA"/>
              </w:rPr>
              <w:t>指导整理“其”字的几种用法</w:t>
            </w:r>
          </w:p>
          <w:p>
            <w:pPr>
              <w:widowControl/>
              <w:shd w:val="clear" w:color="auto" w:fill="FFFFFF"/>
              <w:spacing w:line="315" w:lineRule="atLeast"/>
              <w:jc w:val="left"/>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515" w:type="dxa"/>
            <w:vAlign w:val="center"/>
          </w:tcPr>
          <w:p>
            <w:pPr>
              <w:jc w:val="center"/>
            </w:pPr>
            <w:r>
              <w:rPr>
                <w:rFonts w:hint="eastAsia"/>
              </w:rPr>
              <w:t>教学方法</w:t>
            </w:r>
          </w:p>
        </w:tc>
        <w:tc>
          <w:tcPr>
            <w:tcW w:w="2960" w:type="dxa"/>
            <w:gridSpan w:val="2"/>
            <w:vAlign w:val="center"/>
          </w:tcPr>
          <w:p>
            <w:pPr>
              <w:jc w:val="center"/>
              <w:rPr>
                <w:rFonts w:hint="default" w:eastAsia="宋体"/>
                <w:lang w:val="en-US" w:eastAsia="zh-CN"/>
              </w:rPr>
            </w:pPr>
            <w:r>
              <w:rPr>
                <w:rFonts w:hint="eastAsia"/>
                <w:lang w:val="en-US" w:eastAsia="zh-CN"/>
              </w:rPr>
              <w:t>讲授 讨论</w:t>
            </w:r>
          </w:p>
        </w:tc>
        <w:tc>
          <w:tcPr>
            <w:tcW w:w="2612" w:type="dxa"/>
            <w:vAlign w:val="center"/>
          </w:tcPr>
          <w:p>
            <w:pPr>
              <w:jc w:val="center"/>
            </w:pPr>
            <w:r>
              <w:rPr>
                <w:rFonts w:hint="eastAsia"/>
              </w:rPr>
              <w:t>教学辅助手段</w:t>
            </w:r>
          </w:p>
        </w:tc>
        <w:tc>
          <w:tcPr>
            <w:tcW w:w="2353" w:type="dxa"/>
            <w:vAlign w:val="center"/>
          </w:tcPr>
          <w:p>
            <w:pPr>
              <w:jc w:val="center"/>
            </w:pPr>
            <w:r>
              <w:rPr>
                <w:rFonts w:hint="eastAsia"/>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9440" w:type="dxa"/>
            <w:gridSpan w:val="5"/>
            <w:vAlign w:val="center"/>
          </w:tcPr>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rPr>
            </w:pPr>
            <w:r>
              <w:rPr>
                <w:rFonts w:hint="eastAsia"/>
              </w:rPr>
              <w:t>教</w:t>
            </w:r>
            <w:r>
              <w:t xml:space="preserve"> </w:t>
            </w:r>
            <w:r>
              <w:rPr>
                <w:rFonts w:hint="eastAsia"/>
              </w:rPr>
              <w:t>学</w:t>
            </w:r>
            <w:r>
              <w:t xml:space="preserve"> </w:t>
            </w:r>
            <w:r>
              <w:rPr>
                <w:rFonts w:hint="eastAsia"/>
              </w:rPr>
              <w:t>过</w:t>
            </w:r>
            <w:r>
              <w:t xml:space="preserve"> </w:t>
            </w:r>
            <w:r>
              <w:rPr>
                <w:rFonts w:hint="eastAsia"/>
              </w:rPr>
              <w:t>程</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一、指名背诵三段</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二、集体朗诵课文</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三、发放课堂练习，学生完成</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四、“其”宇在文中有二十多处，每个同学迅速找一处，指出它的意义同学更正</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1.唐浮图慧褒始舍于其址         2.以故其后名之曰“褒禅”</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3.距其院东五里                 4.以其乃华山之阳名之也</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5.其文漫灭                     6.独其为文犹可识，日“花山”</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7.其下平旷                     8.问其深</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9.则其好游者不能穷也           l0.人之愈深，其进愈难</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11.而其见愈奇                  12.然视其左右</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13.盖其又深                   14.则其至又加少矣</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15.既其出                      16.则或咎其欲出者</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17.而余亦悔其随之而不得极夫游之乐也      18.以其求思之深而无不在也</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19.其孰能讥之乎                 20.后世之谬其传而莫能名者</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教师总结点拨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“其”字在文中有二十处之多，大致可分为五种类型：</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(1)指示代词，相当于“那”“那个”“那些”</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(2)人称代词，相当于“它”(他)</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(3)人称代词，表领属关系，作“它的”讲</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(4)人称代词，活用为第一人称相当于“我”“我们”“自己”</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(5)语气副词，表示反问语气，可译为“难道”；表估计时，译为大概、可能</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五、指名学生汇报完成文后练习四的情况(解释加点词的意义和用法，同学们补充订正)</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六、辨析词类活用、古今异义、特殊句式</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看课文，指出加点的字古今词义不同或词类活用情况</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(1)而卒葬之古：终于；今：士兵，完毕</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(2)比好游者尚不能十一古：十分之一；今：数词ll</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(3)而世之奇伟、瑰怪、非常之观古：不平常；今：表程度的副词，很、十分</w:t>
            </w:r>
            <w:r>
              <w:rPr>
                <w:rFonts w:hint="eastAsia" w:ascii="Calibri" w:hAnsi="Calibri" w:eastAsia="宋体" w:cs="Times New Roman"/>
                <w:kern w:val="2"/>
                <w:sz w:val="21"/>
                <w:szCs w:val="24"/>
                <w:lang w:val="en-US" w:eastAsia="zh-CN" w:bidi="ar-SA"/>
              </w:rPr>
              <w:br w:type="textWrapping"/>
            </w:r>
            <w:r>
              <w:rPr>
                <w:rFonts w:hint="eastAsia" w:ascii="Calibri" w:hAnsi="Calibri" w:eastAsia="宋体" w:cs="Times New Roman"/>
                <w:kern w:val="2"/>
                <w:sz w:val="21"/>
                <w:szCs w:val="24"/>
                <w:lang w:val="en-US" w:eastAsia="zh-CN" w:bidi="ar-SA"/>
              </w:rPr>
              <w:t>(4)此所以学者不可以不深思而慎取之 “所以”是特殊的指示代词，“所”与介词“以”结合，相当于“……的缘故”；今常用作因果关系的连词“学者”：古泛指求学的人，读书的人今：特指有专门学问的人。</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(5)长乐王回深父这是一个通假字，“父”通“甫”，古代在男子名字下加的美称。</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(6)问其深；则其至又加少矣；非常之观，常在于险远这三个词都可以视为形容词用作名词，分别为深度、到达的人、险远的地方，也可以把“其至”“险远”看做是后面省略，后面分别省略“之人”“之地”。</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(7)世之谬其传而莫能名者，何可胜道也哉 “谬”：弄错，使……错形容词的使动用法“名”：说出，说明，动词。</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(8)而余亦悔其随之而不得极夫游之乐也“极”：尽情享受，形容词用作动词。</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4.指名回答下列句式的特点</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(1)今所谓慧空禅院者，褒之庐冢也。</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(2)所谓华山洞者，以其乃华山之阳名之也。</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(3)今言“华”如“华实”之“华”者，盖音谬也。</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明确：这三个句子都用“……者……也”表示判断其中的“者”是语气助词，表示提顿，“也”是语气助词，表示判断第(1)个句子是一般判断句，第(2)、(3)个句子是因果判断句，其中的“者”有提示原因的作用。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七、全文小结</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游褒禅山记》是一篇游记体的论文，阐述两个观点，一是“奇伟、瑰怪、非常之观，常在于险远”，必须“尽吾志”以赴；一是古书不存，学者研究学问必须“深思而慎取”文章以游山为喻说明无论治学、立业都必须有坚强的意志、百折不挠的精神，有深思而慎取的态度；意志不坚，浅尝辄止是不可能取得成功的本文的结构谨严，可以从前后叙议的紧密联系，行文的上下呼应和写法上曲折、起伏方面去体会。</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八、布置作业</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归纳、整理多义词“道、名、然、其”四个词的义项。</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420" w:lineRule="atLeast"/>
              <w:ind w:left="0" w:leftChars="0" w:right="0" w:rightChars="0" w:firstLine="480"/>
              <w:jc w:val="left"/>
              <w:textAlignment w:val="auto"/>
              <w:rPr>
                <w:rFonts w:hint="eastAsia" w:ascii="Calibri" w:hAnsi="Calibri" w:eastAsia="宋体" w:cs="Times New Roman"/>
                <w:kern w:val="2"/>
                <w:sz w:val="21"/>
                <w:szCs w:val="24"/>
                <w:lang w:val="en-US" w:eastAsia="zh-CN" w:bidi="ar-SA"/>
              </w:rP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4" w:hRule="atLeast"/>
          <w:jc w:val="center"/>
        </w:trPr>
        <w:tc>
          <w:tcPr>
            <w:tcW w:w="9440" w:type="dxa"/>
            <w:gridSpan w:val="5"/>
          </w:tcPr>
          <w:p>
            <w:pPr>
              <w:numPr>
                <w:ilvl w:val="0"/>
                <w:numId w:val="0"/>
              </w:numPr>
              <w:rPr>
                <w:rFonts w:hint="eastAsia" w:ascii="宋体" w:hAnsi="宋体" w:cs="宋体"/>
                <w:sz w:val="24"/>
                <w:szCs w:val="24"/>
                <w:u w:val="single"/>
                <w:lang w:val="en-US" w:eastAsia="zh-CN"/>
              </w:rPr>
            </w:pPr>
          </w:p>
          <w:tbl>
            <w:tblPr>
              <w:tblStyle w:val="3"/>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板书设计</w:t>
                  </w:r>
                </w:p>
              </w:tc>
              <w:tc>
                <w:tcPr>
                  <w:tcW w:w="8907" w:type="dxa"/>
                  <w:tcBorders>
                    <w:top w:val="single" w:color="auto" w:sz="4" w:space="0"/>
                    <w:left w:val="single" w:color="auto" w:sz="4" w:space="0"/>
                    <w:bottom w:val="single" w:color="auto" w:sz="4" w:space="0"/>
                    <w:right w:val="single" w:color="auto" w:sz="4" w:space="0"/>
                  </w:tcBorders>
                </w:tcPr>
                <w:p>
                  <w:pPr>
                    <w:ind w:firstLine="1995" w:firstLineChars="9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教学反思</w:t>
                  </w:r>
                </w:p>
              </w:tc>
              <w:tc>
                <w:tcPr>
                  <w:tcW w:w="8907" w:type="dxa"/>
                  <w:tcBorders>
                    <w:top w:val="single" w:color="auto" w:sz="4" w:space="0"/>
                    <w:left w:val="single" w:color="auto" w:sz="4" w:space="0"/>
                    <w:bottom w:val="single" w:color="auto" w:sz="4" w:space="0"/>
                    <w:right w:val="single" w:color="auto" w:sz="4" w:space="0"/>
                  </w:tcBorders>
                </w:tcPr>
                <w:p/>
                <w:p/>
                <w:p/>
                <w:p/>
                <w:p/>
                <w:p/>
                <w:p>
                  <w:pPr>
                    <w:jc w:val="right"/>
                  </w:pPr>
                  <w:r>
                    <w:rPr>
                      <w:rFonts w:hint="eastAsia"/>
                      <w:szCs w:val="21"/>
                    </w:rPr>
                    <w:t>授课时间：</w:t>
                  </w:r>
                  <w:r>
                    <w:rPr>
                      <w:rFonts w:ascii="宋体" w:hAnsi="宋体" w:cs="宋体"/>
                      <w:szCs w:val="21"/>
                    </w:rPr>
                    <w:t>20</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tc>
            </w:tr>
          </w:tbl>
          <w:p>
            <w:pPr>
              <w:spacing w:line="360" w:lineRule="auto"/>
            </w:pPr>
          </w:p>
        </w:tc>
      </w:tr>
    </w:tbl>
    <w:p>
      <w:pPr>
        <w:jc w:val="center"/>
      </w:pPr>
    </w:p>
    <w:p>
      <w:pPr>
        <w:jc w:val="cente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310E60"/>
    <w:rsid w:val="002347D0"/>
    <w:rsid w:val="002877A9"/>
    <w:rsid w:val="00372EC5"/>
    <w:rsid w:val="003B6202"/>
    <w:rsid w:val="00427FC6"/>
    <w:rsid w:val="00483B88"/>
    <w:rsid w:val="00533513"/>
    <w:rsid w:val="005A24AA"/>
    <w:rsid w:val="006B205E"/>
    <w:rsid w:val="006B3B58"/>
    <w:rsid w:val="00762013"/>
    <w:rsid w:val="007B186F"/>
    <w:rsid w:val="008E0DB7"/>
    <w:rsid w:val="009E0C71"/>
    <w:rsid w:val="00AF72FA"/>
    <w:rsid w:val="00B80383"/>
    <w:rsid w:val="00CB71A5"/>
    <w:rsid w:val="00D37D5E"/>
    <w:rsid w:val="00D719A4"/>
    <w:rsid w:val="00DA5975"/>
    <w:rsid w:val="00EC2293"/>
    <w:rsid w:val="00EC519A"/>
    <w:rsid w:val="00F121CA"/>
    <w:rsid w:val="00F644B5"/>
    <w:rsid w:val="07757E31"/>
    <w:rsid w:val="097521B8"/>
    <w:rsid w:val="0C977B62"/>
    <w:rsid w:val="0DED23E9"/>
    <w:rsid w:val="10B966D9"/>
    <w:rsid w:val="2ED838A9"/>
    <w:rsid w:val="45B85A13"/>
    <w:rsid w:val="5E310E60"/>
    <w:rsid w:val="68133910"/>
    <w:rsid w:val="73482493"/>
    <w:rsid w:val="752F6CD6"/>
    <w:rsid w:val="7D985A42"/>
    <w:rsid w:val="7DE31C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97</Words>
  <Characters>553</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2019-09-16T07:33:00Z</dcterms:created>
  <dc:creator>Administrator</dc:creator>
  <cp:lastModifiedBy>qhzx</cp:lastModifiedBy>
  <dcterms:modified xsi:type="dcterms:W3CDTF">2020-04-14T07:19:47Z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