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>现代生物进化理论的教学反思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 xml:space="preserve">南京市秦淮中学 顾广兰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在高中生物新课程标准中，本部分属于第二模块《遗传与进化》。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1  教材分析与讨论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1.1          特殊的地位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课程标准对生物进化部分重点在于现代生物进化理论部分，表明编者在注重减轻学生课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业负担的同时没有忽视教材的先进性，是确保生物课程反映生命科学的新进展、体现时代特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色的重要举措。由于本部分引入了部分现代遗传学和生态学发展成果，而与前后教学内容有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密切的联系。其中，一部分内容与遗传变异部分有紧密的联系，例如，突变和基因重组方面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知识在前面有较大篇幅的叙述，物种的概念与生物的变异（染色体的变化）和生殖有联系。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另一部分（关于种群的知识）与必修三生态知识存在着密切的联系，能起到承上启下的作用。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同时，通过这部分的学习，可帮助学生形成必要的进化观，对树立辩证唯物主义自然观和逐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步建立科学的世界观有着不可替代的作用。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1.2       要求较低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    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在教学要求层次上，课程标准和新出台的高考考纲对这部分教学要求内容的要求相对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不高，只要求达到B级。所谓“B级”识记是指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“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理解所列知识点及其他相关知识之间的联系和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区别，能在一定情境的中运用它们并作出合理的判断或得出正确的结论”。这样的要求整体上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比过渡教材要略高，但教学中特别是涉及到评价问题时，就不是那么容易把握了。是要求学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生记住要点还是记住全部内容？显然是前者。对“能够在有关情境中识别它们”这一要求是值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得讨论的。显然，识记不等于死记，但不可不记，不应该引导学生死记硬背，而应引导他们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进行科学地记忆，进行必要的理解和探究，让他们在理解和分析具体实例的过程中去达到“识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记”的目的，同时也应该注意教学要求上的“弹性”，在将识记作为对全体学生的基本要求前提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下，可鼓励优秀学生做更深入的探讨。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1.3      新旧理论比较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教材在讲授现代进化理论之前对拉马克的进化学说，达尔文的自然选择学说均进行了回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顾和评价。其中评价的篇幅相对较大，并且运用了一分为二的观点。首先肯定了拉马克学说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和达尔文学说能科地解释生物进化的原因，以及生物的多样性和适应性，对人们正确认识生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物界具有重要意义。然后再指出其不足。这样的安排有利于引入新课的学习。因为正是认识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到他们理论的不足，才会感到学习现代生物进化理论的必要。同时，也使学生进一步明确各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种进化理论是在不断自我完善中发展的。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   讲授现代生物进化理论部分时列出的主要内容包括：种群是生物进化的单位、突变和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基因重组是产生进化的原材料、自然选择决定进化的方向、隔离导致物种的形成。现代生物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进化理论并非是要对达尔文的进化理论的全盘否定，相反，与达尔文进化理论一样也是以自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然选择学说为核心的。应该说是对达尔文进化的理论的扬弃。其最突出的特点是，回答了达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尔文进化理论所不能解释的几个问题。对自然选择作用的研究，达尔文理论是以个体为单位，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而现代生物进化理论是以种群为单位。以个体为单位研究的片面性是多方面的，例如，个体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的生存与适应性等特征并不能显示其繁殖上的优劣。又如，关于遗传和变异的本质和自然选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择对遗传和变异的作用问题，达尔文理论由于受当时科学发展的限制只能从性状水平来研究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遗传，而现代生物进化理论发展从分子水平上做阐释，强调了生物进化的实质是种群基因频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率发生变化的过程，强调了可遗传的变异来源于突变和基因重组等。应该说，缺乏必要遗传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学理论是达尔文进化论最薄弱的环节。因为遗传变异是其理论的重要组成部分，而恰恰它连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诸于“子代与亲代之间为什么会存在差异”等最简单的问题都不能作出合理地解释。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1.4   种群和物种。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关于种群和物种的概念的比较，是教学中的热点和疑点问题。事实上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如果教学中，老师对这二个概念没有比较明确具体的认识，上课就会显得底气不足。虽说种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群有关知识在后面的生态部分还会讲到,但对其概念的把握应是本章的任务。从宏观方面看，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种群是进行繁殖的单位，从微观方面看，生物进化的实质是种群基因频率的改变。所以它是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进化的单位。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顺便说明一下，对物种的概念有不同的说法，进化研究中的物种与分类学中的物种是不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完全一致的。由于分类学中的物种概念是不具有时向性的，而进化过程具有时向性，所以用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生殖隔离的判断方法是不适合于历史上存在的物种的。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还想说明的是，进化上生物维持或变更的单位，对无性生殖的生物是无性繁殖系，对有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性生殖的生物才是通过有性生殖联系起来的种群。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1.5  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突变的概念。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本部分的第二个标题是“突变和基因重组产生进化的原材料”，在这部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分第一自然段对突变的含义做了阐释，明确指出它包括基因突变和染色体变异。也就是说标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题中的“突变和基因重组”实际上包括了前面所学的可遗传的变异的三个来源，即基因重组、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基因突变和染色体变异。教材将概念做这样的安排，有利于学生今后对进化理论的进一步学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习。但给中学教学带来不必要的麻烦。例如，编者在后面三个自然段重点对突变的有关情况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做了介绍。对照前面的遗传学部分的有关变异知识的叙述不难看出，这三段所说明的突变实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际上只是说了基因突变。这三段的解释由于没有讲解染色体变异的情况，实际上又将突变的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概念回归到“基因突变”上去了。这一点笔者在课堂上作了一定的修改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      教学思路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  </w:t>
      </w: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一根主线。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由于自然选择学说也是现代生物进化理论的核心。在教授现代生物进化理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论时，始终都要注意贯穿这一思想：种群基因频率的变化过程实际上也的自然选择和进化的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过程；变异是不定向的，过度繁殖、突变和基因重组为选择提供了丰富多样的材料。环境在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自然选择中起了重要作用。同一物种不同种群形成不同物种的过程实际上也是是不同环境对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其定向选择和积累的过程。变异、选择和遗传是物种形成过程的三个基本环节。自然选择通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过定向改变种群的基因频率而决定了生物进化的方向。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  实例开路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。对这部分内容的教学，应尽量引导学生运用实例来培养语言表达能力和处理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科学信息的能力。例如，在讲种群的概念时可列举下列实例让学生进行判断。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    下列哪项属于种群？（A.一个池塘的所以鱼类 B.一个稻田里的所有昆虫 C.一片草地的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所有蒲公英     D.分散在各湖泊、河流的鲤鱼） ”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又如，在讲自然选择决定生物进化的方向时，可将课本中的相关材料改编成问题形式呈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现给学生，并要求他们做相应的回答。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材料1.英国的曼彻斯特地区有一种桦尺蠖，它夜间活动，白天栖息在树干上。（说明生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物具有应激性和适应性）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材料2.自然条件下桦尺蠖触角和足有长的也有短的，体色有深些的也有浅些的（说明生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物存在着变异现象）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材料3. 试验表明， 桦尺蠖之间能进行相互杂交，黑色的华尺蠖杂交能产生浅色的华尺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蠖，而浅色的桦尺蠖之间杂交其下代都是浅色的。（说明这些桦尺蠖是属于同一个物种。黑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色是显性性状，是由显性基因控制的）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材料4.19世纪中叶以前，浅色的桦尺蠖数量较多，到20世纪中叶则是黑色的桦尺蠖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成了常见类型。这种现象被成为桦尺蠖的“工业黑化现象”。（这是自然选择的结果。环境对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生物的生存会产生影响，自然选择是通过生存斗争来实现的）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  在引导学生分析作答的基础上。要求学生从基因水平做进一步的分析：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 材料5  桦尺蠖的黑色是由显性基因S控制的，浅色是由隐性基因s控制的。19世纪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中叶以前的桦尺蠖种群中S基因的频率只有5%以下，而到了20世纪中叶则上升到95%以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上。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  19世纪中叶以前曼彻斯特地区的树干上长满了浅色的地衣，而后来因为工业的发展，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工厂排出的煤烟使地衣不能生存，树皮也熏成了黑色。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要求回答：1. 基因S频率变化的原因是什么？2.生物变异是否是定向的？基因频率的改变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是否是定向的？自然选择是否是定向的？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要求学生当堂回答这些问题，不仅有利于巩固知识，而且有利于培养其语言表达能力、进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而提高分析问题的能力。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拓展思维。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教材在将“突变和基因重组产生生物进化的原材料”时，就基因突变的特点进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行了解释。大意是，突变率低不等于突变个体的绝对数少，突变往往有害，但有害是相对的。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其实这里可以顺便指出，突变率低也说明生物遗传物质的相对稳定性。突变往往有害也说明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了生物对环境的适应性。突变是产生等位基因的过程，等位基因的增加，也增大的基因重组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的机会，而提高变异的机会。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2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联系巩固。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在讲突变时，一定要通过引导学生回忆前面所学的相关知识。例如可引导学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生分析：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 为什么马和驴的后代（骡）是不育的？（可结合其染色体情况加以分析，因为骡体细胞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含63条染色体，在减数分裂时，因为联会发生紊乱，不能形成生殖细胞，所以是不育的）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又如，对一些结论性的知识，可引导学生当堂进行必要的记忆和总结。可创造条件引导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他们进行尝试记忆。这样既可以使他们增强学习的信心也可减轻其课业的负担。要求学生记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住的结论性内容主要有：达尔文自然选择学说的四个基本要点（过度繁殖、生存斗争、遗传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变异、适者生存），本节教材的的四个标题（种群是生物进化的单位、突变和基因重组是产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生进化的原材料、自然选择决定进化的方向、隔离导致物种的形成），四组概念（基因频率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和基因库，种群和物种、突变和基因重组、隔离和生殖隔离）、三个环节（物种形成过程的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三个环节：变异、选择和遗传）等。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此外作为一节高三复习课，笔者在授课时采用了课件、学案和教案三位一体的授课模式，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课前参照了苏教版，北师大版等其它版的教材,有效地扩大了课堂的容量和内容的深度。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ind w:right="0" w:lef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Calibri" w:eastAsia="宋体" w:hAnsi="宋体" w:hint="default"/>
      </w:rPr>
      <w:t>1</w:t>
    </w:r>
    <w:r>
      <w:rPr>
        <w:color w:val="auto"/>
        <w:position w:val="0"/>
        <w:sz w:val="18"/>
        <w:szCs w:val="18"/>
        <w:rFonts w:ascii="Calibri" w:eastAsia="宋体" w:hAnsi="宋体" w:hint="default"/>
      </w:rPr>
      <w:fldChar w:fldCharType="end"/>
    </w:r>
  </w:p>
  <w:p>
    <w:pPr>
      <w:pStyle w:val="PO154"/>
      <w:numPr>
        <w:ilvl w:val="0"/>
        <w:numId w:val="0"/>
      </w:numPr>
      <w:jc w:val="left"/>
      <w:spacing w:lineRule="auto" w:line="240" w:before="0" w:after="0"/>
      <w:ind w:right="0" w:lef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27</Lines>
  <LinksUpToDate>false</LinksUpToDate>
  <Pages>3</Pages>
  <Paragraphs>7</Paragraphs>
  <Words>571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fox</dc:creator>
  <cp:lastModifiedBy/>
  <dcterms:modified xsi:type="dcterms:W3CDTF">2014-09-11T01:33:00Z</dcterms:modified>
</cp:coreProperties>
</file>