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FE" w:rsidRDefault="00F428FE" w:rsidP="00F428FE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高二政治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备课组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教案</w:t>
      </w:r>
    </w:p>
    <w:p w:rsidR="00F428FE" w:rsidRDefault="00F428FE" w:rsidP="00F428FE">
      <w:pPr>
        <w:widowControl/>
        <w:jc w:val="center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（选修班）</w:t>
      </w:r>
    </w:p>
    <w:p w:rsidR="00F428FE" w:rsidRDefault="00F428FE" w:rsidP="00F428FE">
      <w:pPr>
        <w:widowControl/>
        <w:jc w:val="left"/>
        <w:rPr>
          <w:rFonts w:ascii="宋体" w:eastAsia="楷体_GB2312" w:hAnsi="宋体" w:cs="宋体"/>
          <w:b/>
          <w:bCs/>
          <w:kern w:val="0"/>
          <w:sz w:val="24"/>
        </w:rPr>
      </w:pPr>
      <w:r>
        <w:rPr>
          <w:rFonts w:ascii="宋体" w:eastAsia="楷体_GB2312" w:hAnsi="宋体" w:cs="宋体" w:hint="eastAsia"/>
          <w:b/>
          <w:bCs/>
          <w:kern w:val="0"/>
          <w:sz w:val="24"/>
        </w:rPr>
        <w:t>备课时间：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2019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年</w:t>
      </w:r>
      <w:r w:rsidR="006246C4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6246C4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月</w:t>
      </w:r>
      <w:r w:rsidR="006246C4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6246C4">
        <w:rPr>
          <w:rFonts w:ascii="宋体" w:eastAsia="楷体_GB2312" w:hAnsi="宋体" w:cs="宋体"/>
          <w:b/>
          <w:bCs/>
          <w:kern w:val="0"/>
          <w:sz w:val="24"/>
        </w:rPr>
        <w:t xml:space="preserve">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日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                         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总备课第</w:t>
      </w:r>
      <w:r w:rsidR="006246C4">
        <w:rPr>
          <w:rFonts w:ascii="宋体" w:eastAsia="楷体_GB2312" w:hAnsi="宋体" w:cs="宋体" w:hint="eastAsia"/>
          <w:b/>
          <w:bCs/>
          <w:kern w:val="0"/>
          <w:sz w:val="24"/>
        </w:rPr>
        <w:t xml:space="preserve"> </w:t>
      </w:r>
      <w:r w:rsidR="006246C4">
        <w:rPr>
          <w:rFonts w:ascii="宋体" w:eastAsia="楷体_GB2312" w:hAnsi="宋体" w:cs="宋体"/>
          <w:b/>
          <w:bCs/>
          <w:kern w:val="0"/>
          <w:sz w:val="24"/>
        </w:rPr>
        <w:t xml:space="preserve">  </w:t>
      </w:r>
      <w:r>
        <w:rPr>
          <w:rFonts w:ascii="宋体" w:eastAsia="楷体_GB2312" w:hAnsi="宋体" w:cs="宋体" w:hint="eastAsia"/>
          <w:b/>
          <w:bCs/>
          <w:kern w:val="0"/>
          <w:sz w:val="24"/>
        </w:rPr>
        <w:t>课时</w:t>
      </w:r>
    </w:p>
    <w:tbl>
      <w:tblPr>
        <w:tblW w:w="8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44"/>
        <w:gridCol w:w="1529"/>
        <w:gridCol w:w="1560"/>
        <w:gridCol w:w="2467"/>
        <w:gridCol w:w="1320"/>
      </w:tblGrid>
      <w:tr w:rsidR="00F428FE" w:rsidTr="00A40A31">
        <w:trPr>
          <w:trHeight w:val="561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单元章节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6246C4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第九课第一框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6246C4" w:rsidP="007C5020">
            <w:pPr>
              <w:widowControl/>
              <w:spacing w:line="31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建设社会主义文化强国</w:t>
            </w:r>
          </w:p>
        </w:tc>
      </w:tr>
      <w:tr w:rsidR="00F428FE" w:rsidTr="00A40A31">
        <w:trPr>
          <w:trHeight w:val="555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课型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6246C4" w:rsidP="007C502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新授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需课时</w:t>
            </w:r>
          </w:p>
        </w:tc>
        <w:tc>
          <w:tcPr>
            <w:tcW w:w="3787" w:type="dxa"/>
            <w:gridSpan w:val="2"/>
            <w:tcBorders>
              <w:left w:val="single" w:sz="4" w:space="0" w:color="auto"/>
            </w:tcBorders>
            <w:vAlign w:val="center"/>
          </w:tcPr>
          <w:p w:rsidR="00F428FE" w:rsidRDefault="00F428FE" w:rsidP="007C5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jc w:val="left"/>
              <w:rPr>
                <w:rFonts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一、教学目标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312EBD" w:rsidRPr="00312EBD" w:rsidRDefault="00312EBD" w:rsidP="00312EBD">
            <w:pPr>
              <w:spacing w:line="360" w:lineRule="auto"/>
              <w:textAlignment w:val="center"/>
              <w:rPr>
                <w:rFonts w:ascii="Times New Roman" w:hAnsi="Times New Roman" w:hint="eastAsia"/>
                <w:kern w:val="0"/>
                <w:szCs w:val="24"/>
              </w:rPr>
            </w:pPr>
            <w:r w:rsidRPr="00312EBD">
              <w:rPr>
                <w:rFonts w:ascii="Times New Roman" w:hAnsi="Times New Roman"/>
                <w:kern w:val="0"/>
                <w:szCs w:val="24"/>
              </w:rPr>
              <w:t>1.</w:t>
            </w:r>
            <w:r w:rsidRPr="00312EBD">
              <w:rPr>
                <w:rFonts w:ascii="Times New Roman" w:hAnsi="Times New Roman"/>
                <w:kern w:val="0"/>
                <w:szCs w:val="24"/>
              </w:rPr>
              <w:t>了解中华民族、中华文化复兴的探索历程。</w:t>
            </w:r>
          </w:p>
          <w:p w:rsidR="00312EBD" w:rsidRPr="00312EBD" w:rsidRDefault="00312EBD" w:rsidP="00312EBD">
            <w:pPr>
              <w:spacing w:line="360" w:lineRule="auto"/>
              <w:textAlignment w:val="center"/>
              <w:rPr>
                <w:rFonts w:ascii="Times New Roman" w:hAnsi="Times New Roman" w:hint="eastAsia"/>
                <w:kern w:val="0"/>
                <w:szCs w:val="24"/>
              </w:rPr>
            </w:pPr>
            <w:r w:rsidRPr="00312EBD">
              <w:rPr>
                <w:rFonts w:ascii="Times New Roman" w:hAnsi="Times New Roman"/>
                <w:kern w:val="0"/>
                <w:szCs w:val="24"/>
              </w:rPr>
              <w:t>2.</w:t>
            </w:r>
            <w:r w:rsidRPr="00312EBD">
              <w:rPr>
                <w:rFonts w:ascii="Times New Roman" w:hAnsi="Times New Roman"/>
                <w:kern w:val="0"/>
                <w:szCs w:val="24"/>
              </w:rPr>
              <w:t>记住中国特色社会主义文化的内涵，理解中国特色社会主义文化的产生过程。</w:t>
            </w:r>
            <w:r w:rsidRPr="00312EBD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:rsidR="00312EBD" w:rsidRPr="00312EBD" w:rsidRDefault="00312EBD" w:rsidP="00312EBD">
            <w:pPr>
              <w:spacing w:line="360" w:lineRule="auto"/>
              <w:textAlignment w:val="center"/>
              <w:rPr>
                <w:rFonts w:ascii="Times New Roman" w:hAnsi="Times New Roman" w:hint="eastAsia"/>
                <w:kern w:val="0"/>
                <w:szCs w:val="24"/>
              </w:rPr>
            </w:pPr>
            <w:r w:rsidRPr="00312EBD">
              <w:rPr>
                <w:rFonts w:ascii="Times New Roman" w:hAnsi="Times New Roman"/>
                <w:kern w:val="0"/>
                <w:szCs w:val="24"/>
              </w:rPr>
              <w:t>3.</w:t>
            </w:r>
            <w:r w:rsidRPr="00312EBD">
              <w:rPr>
                <w:rFonts w:ascii="Times New Roman" w:hAnsi="Times New Roman"/>
                <w:kern w:val="0"/>
                <w:szCs w:val="24"/>
              </w:rPr>
              <w:t>理解发展中国特色社会主义文化的要求。</w:t>
            </w:r>
          </w:p>
          <w:p w:rsidR="00F428FE" w:rsidRDefault="00F428FE" w:rsidP="006246C4">
            <w:pPr>
              <w:adjustRightInd w:val="0"/>
              <w:snapToGrid w:val="0"/>
              <w:rPr>
                <w:rFonts w:ascii="Lucida Sans Unicode" w:hAnsi="Lucida Sans Unicode" w:cs="Lucida Sans Unicode"/>
                <w:color w:val="0E4A79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二、教学重难点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312EBD" w:rsidP="007C5020">
            <w:pPr>
              <w:jc w:val="left"/>
              <w:rPr>
                <w:rFonts w:ascii="宋体" w:hAnsi="宋体" w:cs="宋体"/>
                <w:szCs w:val="21"/>
              </w:rPr>
            </w:pPr>
            <w:r w:rsidRPr="00312EBD">
              <w:rPr>
                <w:rFonts w:ascii="Times New Roman" w:hAnsi="Times New Roman"/>
                <w:kern w:val="0"/>
                <w:szCs w:val="24"/>
              </w:rPr>
              <w:t>中国特色社会主义文化的内涵，理解中国特色社会主义文化的产生过程</w:t>
            </w:r>
          </w:p>
          <w:p w:rsidR="00F428FE" w:rsidRDefault="00312EBD" w:rsidP="007C5020">
            <w:pPr>
              <w:jc w:val="left"/>
              <w:rPr>
                <w:szCs w:val="21"/>
              </w:rPr>
            </w:pPr>
            <w:r w:rsidRPr="00312EBD">
              <w:rPr>
                <w:rFonts w:ascii="Times New Roman" w:hAnsi="Times New Roman"/>
                <w:kern w:val="0"/>
                <w:szCs w:val="24"/>
              </w:rPr>
              <w:t>发展中国特色社会主义文化的要求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三、教学方法</w:t>
            </w:r>
          </w:p>
        </w:tc>
      </w:tr>
      <w:tr w:rsidR="00F428FE" w:rsidTr="00A40A31">
        <w:trPr>
          <w:trHeight w:val="365"/>
        </w:trPr>
        <w:tc>
          <w:tcPr>
            <w:tcW w:w="8431" w:type="dxa"/>
            <w:gridSpan w:val="6"/>
          </w:tcPr>
          <w:p w:rsidR="00F428FE" w:rsidRDefault="00F428FE" w:rsidP="007C502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讲授法、练习法、讨论法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四、教学辅助手段</w:t>
            </w:r>
          </w:p>
        </w:tc>
      </w:tr>
      <w:tr w:rsidR="00F428FE" w:rsidTr="00A40A31">
        <w:trPr>
          <w:trHeight w:val="437"/>
        </w:trPr>
        <w:tc>
          <w:tcPr>
            <w:tcW w:w="8431" w:type="dxa"/>
            <w:gridSpan w:val="6"/>
          </w:tcPr>
          <w:p w:rsidR="00F428FE" w:rsidRDefault="00F428FE" w:rsidP="00A40A31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五、教学过程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教师活动</w:t>
            </w: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900" w:firstLine="189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学生活动</w:t>
            </w: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315" w:lineRule="atLeast"/>
              <w:ind w:firstLineChars="100" w:firstLine="21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设计意图</w:t>
            </w: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F428F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导入新课</w:t>
            </w:r>
          </w:p>
        </w:tc>
        <w:tc>
          <w:tcPr>
            <w:tcW w:w="5556" w:type="dxa"/>
            <w:gridSpan w:val="3"/>
            <w:vAlign w:val="center"/>
          </w:tcPr>
          <w:p w:rsidR="00656EE6" w:rsidRPr="00656EE6" w:rsidRDefault="00656EE6" w:rsidP="00656EE6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56EE6">
              <w:rPr>
                <w:rFonts w:ascii="宋体" w:hAnsi="宋体" w:cs="宋体" w:hint="eastAsia"/>
                <w:bCs/>
                <w:kern w:val="0"/>
                <w:szCs w:val="21"/>
              </w:rPr>
              <w:t>中国近代的衰落</w:t>
            </w:r>
          </w:p>
          <w:p w:rsidR="00656EE6" w:rsidRPr="00656EE6" w:rsidRDefault="00656EE6" w:rsidP="00656EE6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56EE6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第二次鸦片战争</w:t>
            </w:r>
            <w:r w:rsidRPr="00656EE6">
              <w:rPr>
                <w:rFonts w:ascii="宋体" w:hAnsi="宋体" w:cs="宋体" w:hint="eastAsia"/>
                <w:bCs/>
                <w:kern w:val="0"/>
                <w:szCs w:val="21"/>
              </w:rPr>
              <w:t>，英法联军把清朝的“圆明园”烧成了废墟。</w:t>
            </w:r>
          </w:p>
          <w:p w:rsidR="00656EE6" w:rsidRPr="00656EE6" w:rsidRDefault="00656EE6" w:rsidP="00656EE6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56EE6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甲午战争和《马关条约》的</w:t>
            </w:r>
            <w:proofErr w:type="gramStart"/>
            <w:r w:rsidRPr="00656EE6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签定</w:t>
            </w:r>
            <w:proofErr w:type="gramEnd"/>
            <w:r w:rsidRPr="00656EE6">
              <w:rPr>
                <w:rFonts w:ascii="宋体" w:hAnsi="宋体" w:cs="宋体" w:hint="eastAsia"/>
                <w:bCs/>
                <w:kern w:val="0"/>
                <w:szCs w:val="21"/>
              </w:rPr>
              <w:t>，标志着中国沦为半殖民地半封建的社会。</w:t>
            </w:r>
          </w:p>
          <w:p w:rsidR="00656EE6" w:rsidRPr="00656EE6" w:rsidRDefault="00656EE6" w:rsidP="00656EE6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56EE6">
              <w:rPr>
                <w:rFonts w:ascii="宋体" w:hAnsi="宋体" w:cs="宋体" w:hint="eastAsia"/>
                <w:bCs/>
                <w:kern w:val="0"/>
                <w:szCs w:val="21"/>
              </w:rPr>
              <w:t>如何赶上时代发展的步伐，再创中华文化的辉煌，是几代中国人的求索。</w:t>
            </w:r>
          </w:p>
          <w:p w:rsidR="00F428FE" w:rsidRPr="00656EE6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t>讲授新课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一、中国文化复兴的必然选择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1、失败的教训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历史证明：奉行“全盘西化”论和“文化复古主义”等主张，都不能解决中华文化向何处去的问题，无法使中华文化走上复兴之路。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探究：从中国近、现代史看，是哪次运动实现了中华文化的</w:t>
            </w:r>
            <w:r w:rsidRPr="004462EE">
              <w:rPr>
                <w:rFonts w:ascii="宋体" w:hAnsi="宋体" w:cs="宋体"/>
                <w:bCs/>
                <w:kern w:val="0"/>
                <w:szCs w:val="21"/>
              </w:rPr>
              <w:t>历史转折，使中华文化由衰微走向复兴?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2、中华文化由衰微向重振转折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 xml:space="preserve">   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转折点：马克思主义传入中国，是中华文化由衰微走向重振的重要转折点。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中国共产党既是先进文化的积极引领者很</w:t>
            </w:r>
            <w:proofErr w:type="gramStart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践行</w:t>
            </w:r>
            <w:proofErr w:type="gramEnd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者，又是中华优秀文化的忠实传承者和弘扬者。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二、中国特色社会主义文化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材料：2016年7月1日，习近平总书记在庆祝中国共产党成立95周年大会上明确提出：中国共产党人“坚持不忘初心、继续前进”，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就要坚持“四个自信”即“中国特色社会主义道路自信、理论自信、制度自信、文化自信”。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文化自信：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文化自信是对中国特色社会主义先进性的自信。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坚持文化自信就是要</w:t>
            </w:r>
            <w:proofErr w:type="gramStart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激发党</w:t>
            </w:r>
            <w:proofErr w:type="gramEnd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和人民对中华优秀文化传统的历史自豪感，坚定对党领导人民建设社会主义现代化强国，实现中华民族伟大复兴事业的坚定信念，在全社会形成对社会主义核心价值观的普遍共识和坚定信念。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文化是引领一个民族前行的旗帜。文化兴国运兴，文化</w:t>
            </w:r>
            <w:proofErr w:type="gramStart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强民族强</w:t>
            </w:r>
            <w:proofErr w:type="gramEnd"/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1、产生和原因（为什么）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（1）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源自于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中华民族五千多年文明历史所孕育的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中华优秀传统文化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（2）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熔铸于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党领导人民在革命、建设、改革中创造的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革命文化和社会主义先进文化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（3）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根植于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中国特色社会主义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伟大实践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（4）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【作用】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激励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全党全国各族人民奋勇前进的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强大精神力量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，是中华民族获得空前发展、重新走向辉煌的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必然选择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2、中国特色社会主义文化的内涵（是什么）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以马克思主义为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指导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，坚守中华文化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立场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立足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当代中国现实，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结合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当今时代条件，建设面向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现代化、面向世界、面向未来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的，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民族的科学的大众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社会主义文化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，推动社会主义精神文明和物质文明协调发展。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4、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如何推动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</w:rPr>
              <w:t>社会主义文化繁荣兴盛</w:t>
            </w:r>
          </w:p>
          <w:p w:rsid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6C1A22">
              <w:rPr>
                <w:rFonts w:ascii="宋体" w:hAnsi="宋体" w:cs="宋体" w:hint="eastAsia"/>
                <w:kern w:val="0"/>
                <w:szCs w:val="21"/>
              </w:rPr>
              <w:t>材料</w:t>
            </w:r>
            <w:proofErr w:type="gramStart"/>
            <w:r w:rsidRPr="006C1A22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6C1A22">
              <w:rPr>
                <w:rFonts w:ascii="宋体" w:hAnsi="宋体" w:cs="宋体" w:hint="eastAsia"/>
                <w:kern w:val="0"/>
                <w:szCs w:val="21"/>
              </w:rPr>
              <w:t>：某村是改革开放初期有名的“万元户”村，家家户户都过上了充裕的物质生活。不久，打牌赌博现象开始抬头，并愈演愈烈。于是田地荒芜，人们无心经营管理；一些家庭矛盾不断升级，甚至妻离子散；打架斗殴成了家常便饭……没过几年，原本远近闻名的“万元户”村变成了贫困村。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kern w:val="0"/>
                <w:szCs w:val="21"/>
              </w:rPr>
              <w:lastRenderedPageBreak/>
              <w:t>对我们推动文化繁荣得到什么启示？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kern w:val="0"/>
                <w:szCs w:val="21"/>
                <w:u w:val="single"/>
              </w:rPr>
              <w:t>1、推动精神文明和物质文明协调发展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6C1A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材料二：</w:t>
            </w:r>
            <w:r w:rsidRPr="006C1A22">
              <w:rPr>
                <w:rFonts w:ascii="宋体" w:hAnsi="宋体" w:cs="宋体" w:hint="eastAsia"/>
                <w:kern w:val="0"/>
                <w:szCs w:val="21"/>
              </w:rPr>
              <w:t>1948年，为创作《铜墙铁壁》，柳青用8个月时间深入米脂县，只为搜集到第一手素材。1952年起，为写出老百姓真情实感，柳青扎根长安县皇甫村，一住就是14年，在这14年间，他慢慢地从“作家”转变为“庄稼汉”，他用“作家”的头脑思考这个世界，用“庄稼汉”的身体体验这个世界，用“作家”的眼睛观察这个世界，用“庄稼汉”的心灵感受这个世界。正是有着这种“双重身份”，他笔下人物才会栩栩如生，他笔下喜怒哀乐才能真实可信，他的《创业史》也才会成为“经典性的史诗之作”。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b/>
                <w:bCs/>
                <w:i/>
                <w:iCs/>
                <w:kern w:val="0"/>
                <w:szCs w:val="21"/>
              </w:rPr>
              <w:t>对我们推动文化繁荣得到什么启示？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Pr="006C1A22">
              <w:rPr>
                <w:rFonts w:ascii="宋体" w:hAnsi="宋体" w:cs="宋体" w:hint="eastAsia"/>
                <w:kern w:val="0"/>
                <w:szCs w:val="21"/>
                <w:u w:val="single"/>
              </w:rPr>
              <w:t>、坚持为人民服务、为社会主义服务，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坚持百花齐放，坚持百家争鸣。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材料三：</w:t>
            </w:r>
            <w:r w:rsidRPr="006C1A22">
              <w:rPr>
                <w:rFonts w:ascii="宋体" w:hAnsi="宋体" w:cs="宋体" w:hint="eastAsia"/>
                <w:kern w:val="0"/>
                <w:szCs w:val="21"/>
              </w:rPr>
              <w:t>在五千多年文明发展进程中，中华民族创造了博大精深的灿烂文化。在中国特色社会主义新时代，发展中国特色社会主义文化，就</w:t>
            </w:r>
            <w:r w:rsidRPr="004462EE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>要使中华民族最基本的文化基因与当代文化相适应、与现代社会相协调，以人们喜闻乐见、具有广泛参与性的方式推广开来</w:t>
            </w:r>
            <w:r w:rsidRPr="004462E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6C1A22" w:rsidRPr="006C1A22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1A22">
              <w:rPr>
                <w:rFonts w:ascii="宋体" w:hAnsi="宋体" w:cs="宋体" w:hint="eastAsia"/>
                <w:kern w:val="0"/>
                <w:szCs w:val="21"/>
              </w:rPr>
              <w:t xml:space="preserve">       3、要</w:t>
            </w:r>
            <w:r w:rsidRPr="006C1A22">
              <w:rPr>
                <w:rFonts w:ascii="宋体" w:hAnsi="宋体" w:cs="宋体" w:hint="eastAsia"/>
                <w:kern w:val="0"/>
                <w:szCs w:val="21"/>
                <w:u w:val="single"/>
              </w:rPr>
              <w:t>推动中华优秀传统文化创造性转化、创新性发展</w:t>
            </w:r>
            <w:r w:rsidRPr="006C1A22">
              <w:rPr>
                <w:rFonts w:ascii="宋体" w:hAnsi="宋体" w:cs="宋体" w:hint="eastAsia"/>
                <w:kern w:val="0"/>
                <w:szCs w:val="21"/>
              </w:rPr>
              <w:t>，不断铸就中华文化新辉煌。</w:t>
            </w:r>
          </w:p>
          <w:p w:rsidR="004462EE" w:rsidRPr="004462EE" w:rsidRDefault="004462EE" w:rsidP="004462E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kern w:val="0"/>
                <w:szCs w:val="21"/>
                <w:u w:val="single"/>
              </w:rPr>
              <w:t>(1)创造性转化，就是要按照时代特点和要求，对仍有借鉴价值的、陈旧的加以改造，赋予其新的时代内涵和现代表达形式，激活其生命力。</w:t>
            </w:r>
          </w:p>
          <w:p w:rsidR="004462EE" w:rsidRPr="004462EE" w:rsidRDefault="004462EE" w:rsidP="004462E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EE">
              <w:rPr>
                <w:rFonts w:ascii="宋体" w:hAnsi="宋体" w:cs="宋体" w:hint="eastAsia"/>
                <w:kern w:val="0"/>
                <w:szCs w:val="21"/>
                <w:u w:val="single"/>
              </w:rPr>
              <w:t>(2)创新性发展，就是要按照时代的新进步新进展，对中华优秀传统文化的内涵加以补充、拓展、完善，增强其影响力和感召力。</w:t>
            </w:r>
          </w:p>
          <w:p w:rsidR="006C1A22" w:rsidRPr="004462EE" w:rsidRDefault="006C1A22" w:rsidP="006C1A22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428FE" w:rsidRPr="006C1A22" w:rsidRDefault="00F428FE" w:rsidP="007C5020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Chars="200" w:firstLine="420"/>
              <w:jc w:val="left"/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</w:pPr>
          </w:p>
        </w:tc>
        <w:bookmarkStart w:id="0" w:name="_GoBack"/>
        <w:bookmarkEnd w:id="0"/>
      </w:tr>
      <w:tr w:rsidR="00F428FE" w:rsidTr="00A40A31">
        <w:tc>
          <w:tcPr>
            <w:tcW w:w="1555" w:type="dxa"/>
            <w:gridSpan w:val="2"/>
            <w:vAlign w:val="center"/>
          </w:tcPr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ascii="Lucida Sans Unicode" w:hAnsi="Lucida Sans Unicode" w:cs="Lucida Sans Unicode"/>
                <w:szCs w:val="21"/>
                <w:shd w:val="clear" w:color="auto" w:fill="FFFFFF"/>
              </w:rPr>
              <w:lastRenderedPageBreak/>
              <w:t>课堂小结</w:t>
            </w:r>
          </w:p>
          <w:p w:rsidR="00F428FE" w:rsidRDefault="00F428FE" w:rsidP="007C502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5556" w:type="dxa"/>
            <w:gridSpan w:val="3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28FE" w:rsidRDefault="00F428FE" w:rsidP="007C5020"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六、板书设计</w:t>
            </w:r>
          </w:p>
        </w:tc>
      </w:tr>
      <w:tr w:rsidR="00F428FE" w:rsidTr="00A40A31">
        <w:trPr>
          <w:trHeight w:val="1061"/>
        </w:trPr>
        <w:tc>
          <w:tcPr>
            <w:tcW w:w="8431" w:type="dxa"/>
            <w:gridSpan w:val="6"/>
          </w:tcPr>
          <w:p w:rsidR="00F428FE" w:rsidRDefault="00F428FE" w:rsidP="007C5020">
            <w:pPr>
              <w:jc w:val="left"/>
              <w:rPr>
                <w:szCs w:val="21"/>
              </w:rPr>
            </w:pPr>
          </w:p>
        </w:tc>
      </w:tr>
      <w:tr w:rsidR="00F428FE" w:rsidTr="00A40A31">
        <w:tc>
          <w:tcPr>
            <w:tcW w:w="8431" w:type="dxa"/>
            <w:gridSpan w:val="6"/>
          </w:tcPr>
          <w:p w:rsidR="00F428FE" w:rsidRDefault="00F428FE" w:rsidP="007C5020">
            <w:pPr>
              <w:rPr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七、教学反思</w:t>
            </w:r>
          </w:p>
        </w:tc>
      </w:tr>
      <w:tr w:rsidR="00F428FE" w:rsidTr="00A40A31">
        <w:trPr>
          <w:trHeight w:val="1365"/>
        </w:trPr>
        <w:tc>
          <w:tcPr>
            <w:tcW w:w="8431" w:type="dxa"/>
            <w:gridSpan w:val="6"/>
            <w:vAlign w:val="center"/>
          </w:tcPr>
          <w:p w:rsidR="00F428FE" w:rsidRDefault="00F428FE" w:rsidP="00A40A31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lastRenderedPageBreak/>
              <w:t> </w:t>
            </w:r>
            <w:r>
              <w:rPr>
                <w:rFonts w:hint="eastAsia"/>
                <w:b/>
                <w:kern w:val="0"/>
                <w:szCs w:val="21"/>
              </w:rPr>
              <w:t>授课时间：</w:t>
            </w:r>
            <w:r w:rsidR="00A40A31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="00A40A31"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 w:rsidR="00F428FE" w:rsidRDefault="00F428FE" w:rsidP="00F428FE">
      <w:pPr>
        <w:jc w:val="left"/>
      </w:pPr>
    </w:p>
    <w:p w:rsidR="004F2B56" w:rsidRDefault="004F2B56"/>
    <w:sectPr w:rsidR="004F2B5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E5" w:rsidRDefault="001F2FE5" w:rsidP="00F428FE">
      <w:r>
        <w:separator/>
      </w:r>
    </w:p>
  </w:endnote>
  <w:endnote w:type="continuationSeparator" w:id="0">
    <w:p w:rsidR="001F2FE5" w:rsidRDefault="001F2FE5" w:rsidP="00F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F428F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D1E" w:rsidRDefault="007D49A4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62E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310D1E" w:rsidRDefault="007D49A4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62E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E5" w:rsidRDefault="001F2FE5" w:rsidP="00F428FE">
      <w:r>
        <w:separator/>
      </w:r>
    </w:p>
  </w:footnote>
  <w:footnote w:type="continuationSeparator" w:id="0">
    <w:p w:rsidR="001F2FE5" w:rsidRDefault="001F2FE5" w:rsidP="00F4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1E" w:rsidRDefault="00310D1E">
    <w:pPr>
      <w:pStyle w:val="a4"/>
      <w:pBdr>
        <w:bottom w:val="none" w:sz="0" w:space="1" w:color="auto"/>
      </w:pBdr>
      <w:jc w:val="righ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FE"/>
    <w:rsid w:val="001F2FE5"/>
    <w:rsid w:val="00310D1E"/>
    <w:rsid w:val="00312EBD"/>
    <w:rsid w:val="004462EE"/>
    <w:rsid w:val="004F2B56"/>
    <w:rsid w:val="006246C4"/>
    <w:rsid w:val="00656EE6"/>
    <w:rsid w:val="006C1A22"/>
    <w:rsid w:val="007D49A4"/>
    <w:rsid w:val="00A40A31"/>
    <w:rsid w:val="00D41B1E"/>
    <w:rsid w:val="00F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23A9"/>
  <w15:chartTrackingRefBased/>
  <w15:docId w15:val="{60839675-3293-413C-8F9B-84A62ED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F428FE"/>
    <w:rPr>
      <w:sz w:val="18"/>
      <w:szCs w:val="18"/>
    </w:rPr>
  </w:style>
  <w:style w:type="character" w:customStyle="1" w:styleId="apple-converted-space">
    <w:name w:val="apple-converted-space"/>
    <w:basedOn w:val="a0"/>
    <w:rsid w:val="00F428FE"/>
  </w:style>
  <w:style w:type="character" w:customStyle="1" w:styleId="a5">
    <w:name w:val="页脚 字符"/>
    <w:basedOn w:val="a0"/>
    <w:link w:val="a6"/>
    <w:uiPriority w:val="99"/>
    <w:rsid w:val="00F428FE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F4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rsid w:val="00F42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F4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428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3</cp:revision>
  <dcterms:created xsi:type="dcterms:W3CDTF">2019-03-20T07:17:00Z</dcterms:created>
  <dcterms:modified xsi:type="dcterms:W3CDTF">2019-04-17T01:46:00Z</dcterms:modified>
</cp:coreProperties>
</file>