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5A" w:rsidRPr="008A7D85" w:rsidRDefault="002D0B22" w:rsidP="00B0155A">
      <w:pPr>
        <w:ind w:firstLineChars="600" w:firstLine="1920"/>
        <w:rPr>
          <w:sz w:val="32"/>
          <w:szCs w:val="32"/>
        </w:rPr>
      </w:pPr>
      <w:r w:rsidRPr="008A7D85">
        <w:rPr>
          <w:sz w:val="32"/>
          <w:szCs w:val="32"/>
        </w:rPr>
        <w:t>高一化学集体备课发言稿</w:t>
      </w:r>
      <w:r w:rsidR="00B0155A">
        <w:rPr>
          <w:rFonts w:hint="eastAsia"/>
          <w:sz w:val="32"/>
          <w:szCs w:val="32"/>
        </w:rPr>
        <w:t xml:space="preserve">    2019/4/15</w:t>
      </w:r>
    </w:p>
    <w:p w:rsidR="002D0B22" w:rsidRDefault="002D0B22">
      <w:r>
        <w:rPr>
          <w:rFonts w:hint="eastAsia"/>
        </w:rPr>
        <w:t xml:space="preserve"> </w:t>
      </w:r>
      <w:r w:rsidR="00B0155A">
        <w:rPr>
          <w:rFonts w:hint="eastAsia"/>
        </w:rPr>
        <w:t xml:space="preserve"> </w:t>
      </w:r>
      <w:r>
        <w:rPr>
          <w:rFonts w:hint="eastAsia"/>
        </w:rPr>
        <w:t xml:space="preserve"> </w:t>
      </w:r>
      <w:r>
        <w:rPr>
          <w:rFonts w:hint="eastAsia"/>
        </w:rPr>
        <w:t>开学至今，按照教学进度，我们高一化学已完成上半学期的教学任务。第</w:t>
      </w:r>
      <w:r>
        <w:rPr>
          <w:rFonts w:hint="eastAsia"/>
        </w:rPr>
        <w:t>10</w:t>
      </w:r>
      <w:r>
        <w:rPr>
          <w:rFonts w:hint="eastAsia"/>
        </w:rPr>
        <w:t>周将进行期中考试，这次考试是和其他学校联考，为了在考试中取得优异成绩，考前抽出时间进行复习很有必要，大家进过讨论，制定了以下复习计划。</w:t>
      </w:r>
    </w:p>
    <w:p w:rsidR="002D0B22" w:rsidRDefault="002D0B22" w:rsidP="002D0B22">
      <w:pPr>
        <w:pStyle w:val="a5"/>
        <w:numPr>
          <w:ilvl w:val="0"/>
          <w:numId w:val="1"/>
        </w:numPr>
        <w:ind w:firstLineChars="0"/>
      </w:pPr>
      <w:r>
        <w:rPr>
          <w:rFonts w:hint="eastAsia"/>
        </w:rPr>
        <w:t>认真研读南京市</w:t>
      </w:r>
      <w:r>
        <w:rPr>
          <w:rFonts w:hint="eastAsia"/>
        </w:rPr>
        <w:t>2018-2019</w:t>
      </w:r>
      <w:r>
        <w:rPr>
          <w:rFonts w:hint="eastAsia"/>
        </w:rPr>
        <w:t>学年</w:t>
      </w:r>
      <w:proofErr w:type="gramStart"/>
      <w:r>
        <w:rPr>
          <w:rFonts w:hint="eastAsia"/>
        </w:rPr>
        <w:t>第二学期期</w:t>
      </w:r>
      <w:proofErr w:type="gramEnd"/>
      <w:r>
        <w:rPr>
          <w:rFonts w:hint="eastAsia"/>
        </w:rPr>
        <w:t>中命题双向细目表</w:t>
      </w:r>
    </w:p>
    <w:p w:rsidR="002D0B22" w:rsidRPr="008A7D85" w:rsidRDefault="002D0B22" w:rsidP="008A7D85">
      <w:pPr>
        <w:spacing w:line="440" w:lineRule="exact"/>
        <w:ind w:firstLineChars="300" w:firstLine="630"/>
        <w:rPr>
          <w:rFonts w:ascii="宋体" w:hAnsi="宋体"/>
          <w:szCs w:val="21"/>
        </w:rPr>
      </w:pPr>
      <w:r w:rsidRPr="008A7D85">
        <w:rPr>
          <w:rFonts w:hint="eastAsia"/>
          <w:szCs w:val="21"/>
        </w:rPr>
        <w:t>总分：</w:t>
      </w:r>
      <w:r w:rsidRPr="008A7D85">
        <w:rPr>
          <w:rFonts w:hint="eastAsia"/>
          <w:szCs w:val="21"/>
        </w:rPr>
        <w:t>100</w:t>
      </w:r>
      <w:r w:rsidRPr="008A7D85">
        <w:rPr>
          <w:rFonts w:hint="eastAsia"/>
          <w:szCs w:val="21"/>
        </w:rPr>
        <w:t>分，时间</w:t>
      </w:r>
      <w:r w:rsidRPr="008A7D85">
        <w:rPr>
          <w:rFonts w:hint="eastAsia"/>
          <w:szCs w:val="21"/>
        </w:rPr>
        <w:t>75</w:t>
      </w:r>
      <w:r w:rsidRPr="008A7D85">
        <w:rPr>
          <w:rFonts w:hint="eastAsia"/>
          <w:szCs w:val="21"/>
        </w:rPr>
        <w:t>分钟</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9"/>
        <w:gridCol w:w="3686"/>
        <w:gridCol w:w="814"/>
        <w:gridCol w:w="107"/>
        <w:gridCol w:w="850"/>
        <w:gridCol w:w="71"/>
        <w:gridCol w:w="886"/>
        <w:gridCol w:w="35"/>
        <w:gridCol w:w="922"/>
      </w:tblGrid>
      <w:tr w:rsidR="002D0B22" w:rsidRPr="008A7D85" w:rsidTr="00CB25EA">
        <w:trPr>
          <w:trHeight w:val="315"/>
        </w:trPr>
        <w:tc>
          <w:tcPr>
            <w:tcW w:w="1242" w:type="dxa"/>
            <w:vMerge w:val="restart"/>
            <w:tcBorders>
              <w:top w:val="single" w:sz="4" w:space="0" w:color="auto"/>
              <w:left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题号及分值</w:t>
            </w:r>
          </w:p>
        </w:tc>
        <w:tc>
          <w:tcPr>
            <w:tcW w:w="709" w:type="dxa"/>
            <w:vMerge w:val="restart"/>
            <w:tcBorders>
              <w:top w:val="single" w:sz="4" w:space="0" w:color="auto"/>
              <w:left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预设难度</w:t>
            </w:r>
          </w:p>
        </w:tc>
        <w:tc>
          <w:tcPr>
            <w:tcW w:w="3686" w:type="dxa"/>
            <w:vMerge w:val="restart"/>
            <w:tcBorders>
              <w:top w:val="single" w:sz="4" w:space="0" w:color="auto"/>
              <w:left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主要知识点</w:t>
            </w:r>
          </w:p>
        </w:tc>
        <w:tc>
          <w:tcPr>
            <w:tcW w:w="3685" w:type="dxa"/>
            <w:gridSpan w:val="7"/>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认知能力</w:t>
            </w:r>
          </w:p>
        </w:tc>
      </w:tr>
      <w:tr w:rsidR="002D0B22" w:rsidRPr="008A7D85" w:rsidTr="00CB25EA">
        <w:trPr>
          <w:trHeight w:val="315"/>
        </w:trPr>
        <w:tc>
          <w:tcPr>
            <w:tcW w:w="1242" w:type="dxa"/>
            <w:vMerge/>
            <w:tcBorders>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p>
        </w:tc>
        <w:tc>
          <w:tcPr>
            <w:tcW w:w="709" w:type="dxa"/>
            <w:vMerge/>
            <w:tcBorders>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p>
        </w:tc>
        <w:tc>
          <w:tcPr>
            <w:tcW w:w="3686" w:type="dxa"/>
            <w:vMerge/>
            <w:tcBorders>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知道</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jc w:val="center"/>
              <w:rPr>
                <w:szCs w:val="21"/>
              </w:rPr>
            </w:pPr>
            <w:r w:rsidRPr="008A7D85">
              <w:rPr>
                <w:rFonts w:hint="eastAsia"/>
                <w:szCs w:val="21"/>
              </w:rPr>
              <w:t>了解</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jc w:val="center"/>
              <w:rPr>
                <w:szCs w:val="21"/>
              </w:rPr>
            </w:pPr>
            <w:r w:rsidRPr="008A7D85">
              <w:rPr>
                <w:rFonts w:hint="eastAsia"/>
                <w:szCs w:val="21"/>
              </w:rPr>
              <w:t>理解</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jc w:val="center"/>
              <w:rPr>
                <w:szCs w:val="21"/>
              </w:rPr>
            </w:pPr>
            <w:r w:rsidRPr="008A7D85">
              <w:rPr>
                <w:rFonts w:hint="eastAsia"/>
                <w:szCs w:val="21"/>
              </w:rPr>
              <w:t>应用</w:t>
            </w: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8</w:t>
            </w:r>
            <w:r w:rsidRPr="008A7D85">
              <w:rPr>
                <w:szCs w:val="21"/>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知道开发高能清洁能源的重要性</w:t>
            </w:r>
          </w:p>
        </w:tc>
        <w:tc>
          <w:tcPr>
            <w:tcW w:w="921" w:type="dxa"/>
            <w:gridSpan w:val="2"/>
            <w:tcBorders>
              <w:top w:val="single" w:sz="4" w:space="0" w:color="auto"/>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top w:val="single" w:sz="4" w:space="0" w:color="auto"/>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top w:val="single" w:sz="4" w:space="0" w:color="auto"/>
              <w:left w:val="single" w:sz="4" w:space="0" w:color="auto"/>
              <w:right w:val="single" w:sz="4" w:space="0" w:color="auto"/>
            </w:tcBorders>
            <w:vAlign w:val="center"/>
          </w:tcPr>
          <w:p w:rsidR="002D0B22" w:rsidRPr="008A7D85" w:rsidRDefault="002D0B22" w:rsidP="00CB25EA">
            <w:pPr>
              <w:rPr>
                <w:szCs w:val="21"/>
              </w:rPr>
            </w:pPr>
          </w:p>
        </w:tc>
        <w:tc>
          <w:tcPr>
            <w:tcW w:w="922" w:type="dxa"/>
            <w:tcBorders>
              <w:top w:val="single" w:sz="4" w:space="0" w:color="auto"/>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rPr>
                <w:szCs w:val="21"/>
              </w:rPr>
            </w:pPr>
            <w:r w:rsidRPr="008A7D85">
              <w:rPr>
                <w:szCs w:val="21"/>
              </w:rPr>
              <w:t>2</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8</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知道金属、非金属在周期表中的位置</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3</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0.80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知道元素、核素、同位素、质量数</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4</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90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both"/>
              <w:rPr>
                <w:rFonts w:ascii="Times New Roman" w:hAnsi="Times New Roman" w:cs="Times New Roman"/>
                <w:kern w:val="2"/>
                <w:sz w:val="21"/>
                <w:szCs w:val="21"/>
              </w:rPr>
            </w:pPr>
            <w:r w:rsidRPr="008A7D85">
              <w:rPr>
                <w:rFonts w:ascii="Times New Roman" w:hAnsi="Times New Roman" w:hint="eastAsia"/>
                <w:sz w:val="21"/>
                <w:szCs w:val="21"/>
              </w:rPr>
              <w:t>能判断简单化合物中的化学键类型</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5</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80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ind w:firstLineChars="500" w:firstLine="1050"/>
              <w:rPr>
                <w:szCs w:val="21"/>
              </w:rPr>
            </w:pPr>
            <w:r w:rsidRPr="008A7D85">
              <w:rPr>
                <w:rFonts w:hint="eastAsia"/>
                <w:szCs w:val="21"/>
              </w:rPr>
              <w:t>知道周期表的结构</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6</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0.85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spacing w:line="280" w:lineRule="exact"/>
              <w:jc w:val="center"/>
              <w:rPr>
                <w:rFonts w:ascii="宋体" w:hAnsi="宋体"/>
                <w:szCs w:val="21"/>
              </w:rPr>
            </w:pPr>
            <w:r w:rsidRPr="008A7D85">
              <w:rPr>
                <w:rFonts w:hint="eastAsia"/>
                <w:szCs w:val="21"/>
              </w:rPr>
              <w:t>同周期</w:t>
            </w:r>
            <w:r w:rsidRPr="008A7D85">
              <w:rPr>
                <w:szCs w:val="21"/>
              </w:rPr>
              <w:t>元素</w:t>
            </w:r>
            <w:r w:rsidRPr="008A7D85">
              <w:rPr>
                <w:rFonts w:hint="eastAsia"/>
                <w:szCs w:val="21"/>
              </w:rPr>
              <w:t>性质的递变规律</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7</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7</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元素周期表的应用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8</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80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spacing w:line="280" w:lineRule="exact"/>
              <w:rPr>
                <w:szCs w:val="21"/>
              </w:rPr>
            </w:pPr>
            <w:r w:rsidRPr="008A7D85">
              <w:rPr>
                <w:rFonts w:hint="eastAsia"/>
                <w:szCs w:val="21"/>
              </w:rPr>
              <w:t>知道周期和</w:t>
            </w:r>
            <w:proofErr w:type="gramStart"/>
            <w:r w:rsidRPr="008A7D85">
              <w:rPr>
                <w:rFonts w:hint="eastAsia"/>
                <w:szCs w:val="21"/>
              </w:rPr>
              <w:t>族，</w:t>
            </w:r>
            <w:proofErr w:type="gramEnd"/>
            <w:r w:rsidRPr="008A7D85">
              <w:rPr>
                <w:rFonts w:hint="eastAsia"/>
                <w:szCs w:val="21"/>
              </w:rPr>
              <w:t>知道简单的离子化合物和共价化合物的形成及</w:t>
            </w:r>
            <w:r w:rsidRPr="008A7D85">
              <w:rPr>
                <w:rFonts w:hint="eastAsia"/>
                <w:szCs w:val="21"/>
                <w:lang w:val="pt-BR"/>
              </w:rPr>
              <w:t>电子式书写</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9</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9</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知道常见的放热反应和吸热反应</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10</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0.70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离子化合物</w:t>
            </w:r>
            <w:r w:rsidRPr="008A7D85">
              <w:rPr>
                <w:rFonts w:hint="eastAsia"/>
                <w:szCs w:val="21"/>
              </w:rPr>
              <w:t>、共价化合物</w:t>
            </w:r>
            <w:r w:rsidRPr="008A7D85">
              <w:rPr>
                <w:szCs w:val="21"/>
              </w:rPr>
              <w:t>的结构特征</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11</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7</w:t>
            </w:r>
            <w:r w:rsidRPr="008A7D85">
              <w:rPr>
                <w:szCs w:val="21"/>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spacing w:line="280" w:lineRule="exact"/>
              <w:jc w:val="center"/>
              <w:rPr>
                <w:szCs w:val="21"/>
              </w:rPr>
            </w:pPr>
            <w:r w:rsidRPr="008A7D85">
              <w:rPr>
                <w:rFonts w:hint="eastAsia"/>
                <w:szCs w:val="21"/>
              </w:rPr>
              <w:t>能辨识简单原电池的构成要素</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12</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0.75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同主族元素性质的递变规律</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13</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0.70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有关性质的比较</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14</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0.65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化学键的断裂和形成是化学反应中能量变化的主要原因</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15</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0.65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spacing w:line="280" w:lineRule="exact"/>
              <w:jc w:val="center"/>
              <w:rPr>
                <w:szCs w:val="21"/>
              </w:rPr>
            </w:pPr>
            <w:r w:rsidRPr="008A7D85">
              <w:rPr>
                <w:rFonts w:hint="eastAsia"/>
                <w:szCs w:val="21"/>
              </w:rPr>
              <w:t>能利用元素在周期表中的位置和原子结构，分析、预测、比较元素及其化合物的性质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16</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7</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center"/>
              <w:rPr>
                <w:rFonts w:ascii="Times New Roman" w:hAnsi="Times New Roman" w:cs="Times New Roman"/>
                <w:kern w:val="2"/>
                <w:sz w:val="21"/>
                <w:szCs w:val="21"/>
              </w:rPr>
            </w:pPr>
            <w:r w:rsidRPr="008A7D85">
              <w:rPr>
                <w:rFonts w:ascii="Times New Roman" w:hAnsi="Times New Roman" w:hint="eastAsia"/>
                <w:sz w:val="21"/>
                <w:szCs w:val="21"/>
              </w:rPr>
              <w:t>能分析简单原电池的工作原理</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17</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7</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spacing w:line="280" w:lineRule="exact"/>
              <w:jc w:val="center"/>
              <w:rPr>
                <w:szCs w:val="21"/>
              </w:rPr>
            </w:pPr>
            <w:r w:rsidRPr="008A7D85">
              <w:rPr>
                <w:rFonts w:hint="eastAsia"/>
                <w:szCs w:val="21"/>
              </w:rPr>
              <w:t>能结合有关数据认识元素周期律</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18</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6</w:t>
            </w:r>
            <w:r w:rsidRPr="008A7D85">
              <w:rPr>
                <w:szCs w:val="21"/>
              </w:rPr>
              <w:t>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元素周期律的应用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19</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0.75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能分析简单化学电源的工作原理</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20</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0.7</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化学能与热能的相互转化在生产、生活中的应用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21</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0.60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rFonts w:hint="eastAsia"/>
                <w:szCs w:val="21"/>
              </w:rPr>
              <w:t>原电池原理的应用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22</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0.55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center"/>
              <w:rPr>
                <w:rFonts w:ascii="Times New Roman" w:hAnsi="Times New Roman" w:cs="Times New Roman"/>
                <w:kern w:val="2"/>
                <w:sz w:val="21"/>
                <w:szCs w:val="21"/>
              </w:rPr>
            </w:pPr>
            <w:r w:rsidRPr="008A7D85">
              <w:rPr>
                <w:rFonts w:hint="eastAsia"/>
                <w:sz w:val="21"/>
                <w:szCs w:val="21"/>
              </w:rPr>
              <w:t>比较元素金属性强弱的依据</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23</w:t>
            </w:r>
            <w:r w:rsidRPr="008A7D85">
              <w:rPr>
                <w:rFonts w:hint="eastAsia"/>
                <w:szCs w:val="21"/>
              </w:rPr>
              <w:t>（单选</w:t>
            </w:r>
            <w:r w:rsidRPr="008A7D85">
              <w:rPr>
                <w:rFonts w:hint="eastAsia"/>
                <w:szCs w:val="21"/>
              </w:rPr>
              <w:t>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0.55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center"/>
              <w:rPr>
                <w:rFonts w:ascii="Times New Roman" w:hAnsi="Times New Roman" w:cs="Times New Roman"/>
                <w:kern w:val="2"/>
                <w:sz w:val="21"/>
                <w:szCs w:val="21"/>
              </w:rPr>
            </w:pPr>
            <w:r w:rsidRPr="008A7D85">
              <w:rPr>
                <w:rFonts w:hint="eastAsia"/>
                <w:sz w:val="21"/>
                <w:szCs w:val="21"/>
              </w:rPr>
              <w:t>元素推断及其性质的应用</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24</w:t>
            </w:r>
            <w:r w:rsidRPr="008A7D85">
              <w:rPr>
                <w:rFonts w:hint="eastAsia"/>
                <w:szCs w:val="21"/>
              </w:rPr>
              <w:t>（</w:t>
            </w:r>
            <w:proofErr w:type="gramStart"/>
            <w:r w:rsidRPr="008A7D85">
              <w:rPr>
                <w:rFonts w:hint="eastAsia"/>
                <w:szCs w:val="21"/>
              </w:rPr>
              <w:t>非选</w:t>
            </w:r>
            <w:proofErr w:type="gramEnd"/>
            <w:r w:rsidRPr="008A7D85">
              <w:rPr>
                <w:rFonts w:hint="eastAsia"/>
                <w:szCs w:val="21"/>
              </w:rPr>
              <w:t>8</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w:t>
            </w:r>
            <w:r w:rsidRPr="008A7D85">
              <w:rPr>
                <w:rFonts w:hint="eastAsia"/>
                <w:szCs w:val="21"/>
              </w:rPr>
              <w:t>90</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center"/>
              <w:rPr>
                <w:rFonts w:ascii="Times New Roman" w:hAnsi="Times New Roman" w:cs="Times New Roman"/>
                <w:kern w:val="2"/>
                <w:sz w:val="21"/>
                <w:szCs w:val="21"/>
              </w:rPr>
            </w:pPr>
            <w:r w:rsidRPr="008A7D85">
              <w:rPr>
                <w:rFonts w:hint="eastAsia"/>
                <w:sz w:val="21"/>
                <w:szCs w:val="21"/>
                <w:lang w:val="pt-BR"/>
              </w:rPr>
              <w:t>能画出1-20号元素的原子结构示意图能用电子式表示简单的离子化合物和共价化合物</w:t>
            </w:r>
          </w:p>
        </w:tc>
        <w:tc>
          <w:tcPr>
            <w:tcW w:w="921" w:type="dxa"/>
            <w:gridSpan w:val="2"/>
            <w:tcBorders>
              <w:left w:val="single" w:sz="4" w:space="0" w:color="auto"/>
              <w:right w:val="single" w:sz="4" w:space="0" w:color="auto"/>
            </w:tcBorders>
            <w:vAlign w:val="center"/>
            <w:hideMark/>
          </w:tcPr>
          <w:p w:rsidR="002D0B22" w:rsidRPr="008A7D85" w:rsidRDefault="002D0B22" w:rsidP="00CB25EA">
            <w:pPr>
              <w:rPr>
                <w:szCs w:val="21"/>
              </w:rPr>
            </w:pPr>
            <w:r w:rsidRPr="008A7D85">
              <w:rPr>
                <w:rFonts w:hint="eastAsia"/>
                <w:szCs w:val="21"/>
              </w:rPr>
              <w:t>√</w:t>
            </w: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right w:val="single" w:sz="4" w:space="0" w:color="auto"/>
            </w:tcBorders>
            <w:vAlign w:val="center"/>
          </w:tcPr>
          <w:p w:rsidR="002D0B22" w:rsidRPr="008A7D85" w:rsidRDefault="002D0B22" w:rsidP="00CB25EA">
            <w:pPr>
              <w:rPr>
                <w:szCs w:val="21"/>
              </w:rPr>
            </w:pP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lastRenderedPageBreak/>
              <w:t>2</w:t>
            </w:r>
            <w:r w:rsidRPr="008A7D85">
              <w:rPr>
                <w:rFonts w:hint="eastAsia"/>
                <w:szCs w:val="21"/>
              </w:rPr>
              <w:t>5</w:t>
            </w:r>
            <w:r w:rsidRPr="008A7D85">
              <w:rPr>
                <w:rFonts w:hint="eastAsia"/>
                <w:szCs w:val="21"/>
              </w:rPr>
              <w:t>（</w:t>
            </w:r>
            <w:proofErr w:type="gramStart"/>
            <w:r w:rsidRPr="008A7D85">
              <w:rPr>
                <w:rFonts w:hint="eastAsia"/>
                <w:szCs w:val="21"/>
              </w:rPr>
              <w:t>非选</w:t>
            </w:r>
            <w:proofErr w:type="gramEnd"/>
            <w:r w:rsidRPr="008A7D85">
              <w:rPr>
                <w:rFonts w:hint="eastAsia"/>
                <w:szCs w:val="21"/>
              </w:rPr>
              <w:t>10</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0.65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7"/>
              <w:spacing w:line="360" w:lineRule="exact"/>
              <w:rPr>
                <w:rFonts w:hAnsi="宋体"/>
                <w:lang w:val="pt-BR"/>
              </w:rPr>
            </w:pPr>
            <w:r w:rsidRPr="008A7D85">
              <w:rPr>
                <w:rFonts w:hAnsi="宋体" w:hint="eastAsia"/>
                <w:lang w:val="pt-BR"/>
              </w:rPr>
              <w:t>通过实验及事实说明元素性质的递变规律</w:t>
            </w:r>
          </w:p>
        </w:tc>
        <w:tc>
          <w:tcPr>
            <w:tcW w:w="921" w:type="dxa"/>
            <w:gridSpan w:val="2"/>
            <w:tcBorders>
              <w:left w:val="single" w:sz="4" w:space="0" w:color="auto"/>
              <w:bottom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left w:val="single" w:sz="4" w:space="0" w:color="auto"/>
              <w:bottom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left w:val="single" w:sz="4" w:space="0" w:color="auto"/>
              <w:bottom w:val="single" w:sz="4" w:space="0" w:color="auto"/>
              <w:right w:val="single" w:sz="4" w:space="0" w:color="auto"/>
            </w:tcBorders>
            <w:vAlign w:val="center"/>
          </w:tcPr>
          <w:p w:rsidR="002D0B22" w:rsidRPr="008A7D85" w:rsidRDefault="002D0B22" w:rsidP="00CB25EA">
            <w:pPr>
              <w:rPr>
                <w:szCs w:val="21"/>
              </w:rPr>
            </w:pPr>
          </w:p>
        </w:tc>
        <w:tc>
          <w:tcPr>
            <w:tcW w:w="922" w:type="dxa"/>
            <w:tcBorders>
              <w:left w:val="single" w:sz="4" w:space="0" w:color="auto"/>
              <w:bottom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r>
      <w:tr w:rsidR="002D0B22" w:rsidRPr="008A7D85" w:rsidTr="00CB25EA">
        <w:trPr>
          <w:trHeight w:val="360"/>
        </w:trPr>
        <w:tc>
          <w:tcPr>
            <w:tcW w:w="1242"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2</w:t>
            </w:r>
            <w:r w:rsidRPr="008A7D85">
              <w:rPr>
                <w:rFonts w:hint="eastAsia"/>
                <w:szCs w:val="21"/>
              </w:rPr>
              <w:t>6</w:t>
            </w:r>
            <w:r w:rsidRPr="008A7D85">
              <w:rPr>
                <w:rFonts w:hint="eastAsia"/>
                <w:szCs w:val="21"/>
              </w:rPr>
              <w:t>（</w:t>
            </w:r>
            <w:proofErr w:type="gramStart"/>
            <w:r w:rsidRPr="008A7D85">
              <w:rPr>
                <w:rFonts w:hint="eastAsia"/>
                <w:szCs w:val="21"/>
              </w:rPr>
              <w:t>非选</w:t>
            </w:r>
            <w:proofErr w:type="gramEnd"/>
            <w:r w:rsidRPr="008A7D85">
              <w:rPr>
                <w:rFonts w:hint="eastAsia"/>
                <w:szCs w:val="21"/>
              </w:rPr>
              <w:t>13</w:t>
            </w:r>
            <w:r w:rsidRPr="008A7D85">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jc w:val="center"/>
              <w:rPr>
                <w:szCs w:val="21"/>
              </w:rPr>
            </w:pPr>
            <w:r w:rsidRPr="008A7D85">
              <w:rPr>
                <w:szCs w:val="21"/>
              </w:rPr>
              <w:t>0.65</w:t>
            </w:r>
          </w:p>
        </w:tc>
        <w:tc>
          <w:tcPr>
            <w:tcW w:w="3686" w:type="dxa"/>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pStyle w:val="a6"/>
              <w:shd w:val="clear" w:color="auto" w:fill="FFFFFF"/>
              <w:spacing w:before="0" w:beforeAutospacing="0" w:after="0" w:afterAutospacing="0" w:line="330" w:lineRule="atLeast"/>
              <w:jc w:val="both"/>
              <w:rPr>
                <w:rFonts w:ascii="Times New Roman" w:hAnsi="Times New Roman" w:cs="Times New Roman"/>
                <w:kern w:val="2"/>
                <w:sz w:val="21"/>
                <w:szCs w:val="21"/>
              </w:rPr>
            </w:pPr>
            <w:r w:rsidRPr="008A7D85">
              <w:rPr>
                <w:rFonts w:ascii="Times New Roman" w:hAnsi="Times New Roman" w:cs="Times New Roman" w:hint="eastAsia"/>
                <w:kern w:val="2"/>
                <w:sz w:val="21"/>
                <w:szCs w:val="21"/>
              </w:rPr>
              <w:t>化学能与电能的转化关系及应用</w:t>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rsidR="002D0B22" w:rsidRPr="008A7D85" w:rsidRDefault="002D0B22" w:rsidP="00CB25EA">
            <w:pPr>
              <w:rPr>
                <w:szCs w:val="21"/>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rPr>
                <w:szCs w:val="21"/>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rPr>
                <w:szCs w:val="21"/>
              </w:rPr>
            </w:pPr>
          </w:p>
        </w:tc>
        <w:tc>
          <w:tcPr>
            <w:tcW w:w="922" w:type="dxa"/>
            <w:tcBorders>
              <w:top w:val="single" w:sz="4" w:space="0" w:color="auto"/>
              <w:left w:val="single" w:sz="4" w:space="0" w:color="auto"/>
              <w:bottom w:val="single" w:sz="4" w:space="0" w:color="auto"/>
              <w:right w:val="single" w:sz="4" w:space="0" w:color="auto"/>
            </w:tcBorders>
            <w:vAlign w:val="center"/>
          </w:tcPr>
          <w:p w:rsidR="002D0B22" w:rsidRPr="008A7D85" w:rsidRDefault="002D0B22" w:rsidP="00CB25EA">
            <w:pPr>
              <w:rPr>
                <w:szCs w:val="21"/>
              </w:rPr>
            </w:pPr>
            <w:r w:rsidRPr="008A7D85">
              <w:rPr>
                <w:rFonts w:hint="eastAsia"/>
                <w:szCs w:val="21"/>
              </w:rPr>
              <w:t>√</w:t>
            </w:r>
          </w:p>
        </w:tc>
      </w:tr>
    </w:tbl>
    <w:p w:rsidR="002D0B22" w:rsidRPr="008A7D85" w:rsidRDefault="002D0B22" w:rsidP="002D0B22">
      <w:pPr>
        <w:ind w:rightChars="-844" w:right="-1772"/>
        <w:rPr>
          <w:szCs w:val="21"/>
        </w:rPr>
      </w:pPr>
      <w:r w:rsidRPr="008A7D85">
        <w:rPr>
          <w:rFonts w:hint="eastAsia"/>
          <w:szCs w:val="21"/>
        </w:rPr>
        <w:t>Ⅰ卷预设难度</w:t>
      </w:r>
      <w:r w:rsidRPr="008A7D85">
        <w:rPr>
          <w:szCs w:val="21"/>
        </w:rPr>
        <w:t>0.</w:t>
      </w:r>
      <w:r w:rsidRPr="008A7D85">
        <w:rPr>
          <w:rFonts w:hint="eastAsia"/>
          <w:szCs w:val="21"/>
        </w:rPr>
        <w:t>80</w:t>
      </w:r>
      <w:r w:rsidRPr="008A7D85">
        <w:rPr>
          <w:rFonts w:hint="eastAsia"/>
          <w:szCs w:val="21"/>
        </w:rPr>
        <w:t>；Ⅱ卷预设难度</w:t>
      </w:r>
      <w:r w:rsidRPr="008A7D85">
        <w:rPr>
          <w:szCs w:val="21"/>
        </w:rPr>
        <w:t>0.</w:t>
      </w:r>
      <w:r w:rsidRPr="008A7D85">
        <w:rPr>
          <w:rFonts w:hint="eastAsia"/>
          <w:szCs w:val="21"/>
        </w:rPr>
        <w:t>70</w:t>
      </w:r>
      <w:r w:rsidRPr="008A7D85">
        <w:rPr>
          <w:rFonts w:hint="eastAsia"/>
          <w:szCs w:val="21"/>
        </w:rPr>
        <w:t>；全卷预设难度</w:t>
      </w:r>
      <w:r w:rsidRPr="008A7D85">
        <w:rPr>
          <w:rFonts w:hint="eastAsia"/>
          <w:szCs w:val="21"/>
        </w:rPr>
        <w:t>0.75</w:t>
      </w:r>
      <w:r w:rsidRPr="008A7D85">
        <w:rPr>
          <w:rFonts w:hint="eastAsia"/>
          <w:szCs w:val="21"/>
        </w:rPr>
        <w:t>。</w:t>
      </w:r>
    </w:p>
    <w:p w:rsidR="002D0B22" w:rsidRPr="008A7D85" w:rsidRDefault="002D0B22" w:rsidP="00B0155A">
      <w:pPr>
        <w:spacing w:line="480" w:lineRule="auto"/>
        <w:ind w:rightChars="-844" w:right="-1772"/>
        <w:rPr>
          <w:szCs w:val="21"/>
        </w:rPr>
      </w:pPr>
      <w:r w:rsidRPr="008A7D85">
        <w:rPr>
          <w:rFonts w:hint="eastAsia"/>
          <w:szCs w:val="21"/>
        </w:rPr>
        <w:t>二、考前必背</w:t>
      </w:r>
      <w:r w:rsidRPr="008A7D85">
        <w:rPr>
          <w:szCs w:val="21"/>
        </w:rPr>
        <w:t>—</w:t>
      </w:r>
      <w:r w:rsidRPr="008A7D85">
        <w:rPr>
          <w:rFonts w:hint="eastAsia"/>
          <w:szCs w:val="21"/>
        </w:rPr>
        <w:t>必修</w:t>
      </w:r>
      <w:r w:rsidRPr="008A7D85">
        <w:rPr>
          <w:rFonts w:hint="eastAsia"/>
          <w:szCs w:val="21"/>
        </w:rPr>
        <w:t>2</w:t>
      </w:r>
      <w:r w:rsidRPr="008A7D85">
        <w:rPr>
          <w:rFonts w:hint="eastAsia"/>
          <w:szCs w:val="21"/>
        </w:rPr>
        <w:t>（</w:t>
      </w:r>
      <w:r w:rsidRPr="008A7D85">
        <w:rPr>
          <w:rFonts w:hint="eastAsia"/>
          <w:szCs w:val="21"/>
        </w:rPr>
        <w:t>20</w:t>
      </w:r>
      <w:r w:rsidRPr="008A7D85">
        <w:rPr>
          <w:rFonts w:hint="eastAsia"/>
          <w:szCs w:val="21"/>
        </w:rPr>
        <w:t>个考点要求学生熟记会默写）</w:t>
      </w:r>
    </w:p>
    <w:p w:rsidR="002D0B22" w:rsidRPr="008A7D85" w:rsidRDefault="002D0B22" w:rsidP="00B0155A">
      <w:pPr>
        <w:spacing w:line="480" w:lineRule="auto"/>
        <w:rPr>
          <w:rFonts w:ascii="宋体" w:hAnsi="宋体"/>
          <w:bCs/>
          <w:szCs w:val="21"/>
        </w:rPr>
      </w:pPr>
      <w:r w:rsidRPr="008A7D85">
        <w:rPr>
          <w:rFonts w:ascii="宋体" w:hAnsi="宋体" w:hint="eastAsia"/>
          <w:bCs/>
          <w:szCs w:val="21"/>
        </w:rPr>
        <w:t>三、完成15-16,16-17,17-18</w:t>
      </w:r>
      <w:proofErr w:type="gramStart"/>
      <w:r w:rsidRPr="008A7D85">
        <w:rPr>
          <w:rFonts w:ascii="宋体" w:hAnsi="宋体" w:hint="eastAsia"/>
          <w:bCs/>
          <w:szCs w:val="21"/>
        </w:rPr>
        <w:t>三</w:t>
      </w:r>
      <w:proofErr w:type="gramEnd"/>
      <w:r w:rsidRPr="008A7D85">
        <w:rPr>
          <w:rFonts w:ascii="宋体" w:hAnsi="宋体" w:hint="eastAsia"/>
          <w:bCs/>
          <w:szCs w:val="21"/>
        </w:rPr>
        <w:t>套期中试卷的</w:t>
      </w:r>
      <w:r w:rsidR="008A7D85" w:rsidRPr="008A7D85">
        <w:rPr>
          <w:rFonts w:ascii="宋体" w:hAnsi="宋体" w:hint="eastAsia"/>
          <w:bCs/>
          <w:szCs w:val="21"/>
        </w:rPr>
        <w:t>做、讲、评，针对错误率高的试题多练的工作</w:t>
      </w:r>
    </w:p>
    <w:p w:rsidR="008A7D85" w:rsidRDefault="008A7D85" w:rsidP="00B0155A">
      <w:pPr>
        <w:spacing w:line="480" w:lineRule="auto"/>
        <w:rPr>
          <w:rFonts w:ascii="宋体" w:hAnsi="宋体" w:hint="eastAsia"/>
          <w:bCs/>
          <w:szCs w:val="21"/>
        </w:rPr>
      </w:pPr>
      <w:r w:rsidRPr="008A7D85">
        <w:rPr>
          <w:rFonts w:ascii="宋体" w:hAnsi="宋体" w:hint="eastAsia"/>
          <w:bCs/>
          <w:szCs w:val="21"/>
        </w:rPr>
        <w:t>四、准备针对双向细目表出一套模拟卷，查漏补缺。</w:t>
      </w:r>
    </w:p>
    <w:p w:rsidR="00B0155A" w:rsidRPr="008A7D85" w:rsidRDefault="00B0155A" w:rsidP="00B0155A">
      <w:pPr>
        <w:spacing w:line="480" w:lineRule="auto"/>
        <w:rPr>
          <w:rFonts w:ascii="宋体" w:hAnsi="宋体"/>
          <w:bCs/>
          <w:szCs w:val="21"/>
        </w:rPr>
      </w:pPr>
      <w:r>
        <w:rPr>
          <w:rFonts w:ascii="宋体" w:hAnsi="宋体" w:hint="eastAsia"/>
          <w:bCs/>
          <w:szCs w:val="21"/>
        </w:rPr>
        <w:t>希望在高一化学组全体老师和学生的共同努力下，在即将到来的期中考试中取得优异的成绩。</w:t>
      </w:r>
    </w:p>
    <w:p w:rsidR="002D0B22" w:rsidRPr="008A7D85" w:rsidRDefault="002D0B22" w:rsidP="00B0155A">
      <w:pPr>
        <w:pStyle w:val="a5"/>
        <w:spacing w:line="480" w:lineRule="auto"/>
        <w:ind w:left="420" w:firstLineChars="0" w:firstLine="0"/>
        <w:rPr>
          <w:szCs w:val="21"/>
        </w:rPr>
      </w:pPr>
    </w:p>
    <w:sectPr w:rsidR="002D0B22" w:rsidRPr="008A7D85" w:rsidSect="002E20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FEC" w:rsidRDefault="00987FEC" w:rsidP="002D0B22">
      <w:r>
        <w:separator/>
      </w:r>
    </w:p>
  </w:endnote>
  <w:endnote w:type="continuationSeparator" w:id="0">
    <w:p w:rsidR="00987FEC" w:rsidRDefault="00987FEC" w:rsidP="002D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FEC" w:rsidRDefault="00987FEC" w:rsidP="002D0B22">
      <w:r>
        <w:separator/>
      </w:r>
    </w:p>
  </w:footnote>
  <w:footnote w:type="continuationSeparator" w:id="0">
    <w:p w:rsidR="00987FEC" w:rsidRDefault="00987FEC" w:rsidP="002D0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6F35"/>
    <w:multiLevelType w:val="hybridMultilevel"/>
    <w:tmpl w:val="0C18583E"/>
    <w:lvl w:ilvl="0" w:tplc="2B90AA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22"/>
    <w:rsid w:val="002D0B22"/>
    <w:rsid w:val="002E20C2"/>
    <w:rsid w:val="007D3632"/>
    <w:rsid w:val="008A7D85"/>
    <w:rsid w:val="00987FEC"/>
    <w:rsid w:val="00B0155A"/>
    <w:rsid w:val="00B61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B22"/>
    <w:rPr>
      <w:sz w:val="18"/>
      <w:szCs w:val="18"/>
    </w:rPr>
  </w:style>
  <w:style w:type="paragraph" w:styleId="a4">
    <w:name w:val="footer"/>
    <w:basedOn w:val="a"/>
    <w:link w:val="Char0"/>
    <w:uiPriority w:val="99"/>
    <w:semiHidden/>
    <w:unhideWhenUsed/>
    <w:rsid w:val="002D0B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B22"/>
    <w:rPr>
      <w:sz w:val="18"/>
      <w:szCs w:val="18"/>
    </w:rPr>
  </w:style>
  <w:style w:type="paragraph" w:styleId="a5">
    <w:name w:val="List Paragraph"/>
    <w:basedOn w:val="a"/>
    <w:uiPriority w:val="34"/>
    <w:qFormat/>
    <w:rsid w:val="002D0B22"/>
    <w:pPr>
      <w:ind w:firstLineChars="200" w:firstLine="420"/>
    </w:pPr>
  </w:style>
  <w:style w:type="paragraph" w:styleId="a6">
    <w:name w:val="Normal (Web)"/>
    <w:basedOn w:val="a"/>
    <w:unhideWhenUsed/>
    <w:rsid w:val="002D0B22"/>
    <w:pPr>
      <w:widowControl/>
      <w:spacing w:before="100" w:beforeAutospacing="1" w:after="100" w:afterAutospacing="1"/>
      <w:jc w:val="left"/>
    </w:pPr>
    <w:rPr>
      <w:rFonts w:ascii="宋体" w:eastAsia="宋体" w:hAnsi="宋体" w:cs="宋体"/>
      <w:kern w:val="0"/>
      <w:sz w:val="24"/>
      <w:szCs w:val="24"/>
    </w:rPr>
  </w:style>
  <w:style w:type="paragraph" w:styleId="a7">
    <w:name w:val="Plain Text"/>
    <w:aliases w:val="标题1,普通文字 Char,纯文本 Char Char,Plain Text,普通文字,标题1 Char Char,Char Char Char,Char Char,Char,纯文本 Char1,标题1 Char,普通文字 Char Char,纯文本 Char Char Char,纯文本 Char Char1, Char Char Char,标题1 Char Char Char Char Char,标题1 Char Char Char Char,游数的格式,游数,游数的,普"/>
    <w:basedOn w:val="a"/>
    <w:link w:val="Char2"/>
    <w:rsid w:val="002D0B22"/>
    <w:rPr>
      <w:rFonts w:ascii="宋体" w:eastAsia="宋体" w:hAnsi="Courier New" w:cs="Courier New"/>
      <w:szCs w:val="21"/>
    </w:rPr>
  </w:style>
  <w:style w:type="character" w:customStyle="1" w:styleId="Char1">
    <w:name w:val="纯文本 Char"/>
    <w:basedOn w:val="a0"/>
    <w:link w:val="a7"/>
    <w:uiPriority w:val="99"/>
    <w:semiHidden/>
    <w:rsid w:val="002D0B22"/>
    <w:rPr>
      <w:rFonts w:ascii="宋体" w:eastAsia="宋体" w:hAnsi="Courier New" w:cs="Courier New"/>
      <w:szCs w:val="21"/>
    </w:rPr>
  </w:style>
  <w:style w:type="character" w:customStyle="1" w:styleId="Char2">
    <w:name w:val="纯文本 Char2"/>
    <w:aliases w:val="标题1 Char1,普通文字 Char Char1,纯文本 Char Char Char1,Plain Text Char,普通文字 Char1,标题1 Char Char Char,Char Char Char Char,Char Char Char1,Char Char1,纯文本 Char1 Char,标题1 Char Char1,普通文字 Char Char Char,纯文本 Char Char Char Char,纯文本 Char Char1 Char,游数的格式 Char"/>
    <w:basedOn w:val="a0"/>
    <w:link w:val="a7"/>
    <w:rsid w:val="002D0B2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197</Words>
  <Characters>1123</Characters>
  <Application>Microsoft Office Word</Application>
  <DocSecurity>0</DocSecurity>
  <Lines>9</Lines>
  <Paragraphs>2</Paragraphs>
  <ScaleCrop>false</ScaleCrop>
  <Company>Hewlett-Packard Company</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3</cp:revision>
  <dcterms:created xsi:type="dcterms:W3CDTF">2019-04-17T07:31:00Z</dcterms:created>
  <dcterms:modified xsi:type="dcterms:W3CDTF">2019-04-17T08:13:00Z</dcterms:modified>
</cp:coreProperties>
</file>